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14171A"/>
          <w:sz w:val="36"/>
          <w:szCs w:val="36"/>
        </w:rPr>
        <w:t xml:space="preserve">Information for the works council</w:t>
      </w:r>
    </w:p>
    <w:p>
      <w:pPr>
        <w:pBdr>
          <w:bottom w:val="single" w:color="14171A" w:sz="12" w:space="6"/>
        </w:pBdr>
        <w:spacing w:after="260"/>
      </w:pPr>
      <w:r>
        <w:rPr>
          <w:rFonts w:ascii="Arial" w:cs="Arial" w:eastAsia="Arial" w:hAnsi="Arial"/>
          <w:color w:val="56636A"/>
          <w:sz w:val="24"/>
          <w:szCs w:val="24"/>
        </w:rPr>
        <w:t xml:space="preserve">Introduction of the EHS Axis software</w:t>
      </w:r>
    </w:p>
    <w:p>
      <w:pPr>
        <w:pBdr>
          <w:left w:val="single" w:color="C9F73D" w:sz="18" w:space="8"/>
        </w:pBdr>
        <w:shd w:fill="F1F3F2" w:color="auto" w:val="clear"/>
        <w:spacing w:after="160" w:line="280"/>
      </w:pPr>
      <w:r>
        <w:rPr>
          <w:rFonts w:ascii="Arial" w:cs="Arial" w:eastAsia="Arial" w:hAnsi="Arial"/>
          <w:i/>
          <w:iCs/>
          <w:color w:val="56636A"/>
          <w:sz w:val="19"/>
          <w:szCs w:val="19"/>
        </w:rPr>
        <w:t xml:space="preserve">Template provided by Cyber in Systems Kft. for customers of EHS Axis (version 2026-10). It is not legal advice. Fields in square brackets </w:t>
      </w:r>
      <w:r>
        <w:rPr>
          <w:rFonts w:ascii="Arial" w:cs="Arial" w:eastAsia="Arial" w:hAnsi="Arial"/>
          <w:i/>
          <w:iCs/>
          <w:color w:val="56636A"/>
          <w:sz w:val="19"/>
          <w:szCs w:val="19"/>
          <w:highlight w:val="yellow"/>
        </w:rPr>
        <w:t xml:space="preserve">[ … ]</w:t>
      </w:r>
      <w:r>
        <w:rPr>
          <w:rFonts w:ascii="Arial" w:cs="Arial" w:eastAsia="Arial" w:hAnsi="Arial"/>
          <w:i/>
          <w:iCs/>
          <w:color w:val="56636A"/>
          <w:sz w:val="19"/>
          <w:szCs w:val="19"/>
        </w:rPr>
        <w:t xml:space="preserve"> must be completed or checked by the customer; have the final version reviewed by your data protection officer and, where applicable, legal counsel.</w:t>
      </w:r>
    </w:p>
    <w:p>
      <w:pPr>
        <w:spacing w:after="140" w:line="300"/>
      </w:pPr>
      <w:r>
        <w:rPr>
          <w:rFonts w:ascii="Arial" w:cs="Arial" w:eastAsia="Arial" w:hAnsi="Arial"/>
          <w:color w:val="14171A"/>
          <w:sz w:val="21"/>
          <w:szCs w:val="21"/>
        </w:rPr>
        <w:t xml:space="preserve">This document describes which data about employees EHS Axis processes, who can see it and what technical safeguards are in place. It is intended to inform the works council (or staff representatives) early and in full, and to serve as a basis for a works agreement where one is required.</w:t>
      </w:r>
    </w:p>
    <w:p>
      <w:pPr>
        <w:keepNext/>
        <w:spacing w:after="120" w:before="280"/>
      </w:pPr>
      <w:r>
        <w:rPr>
          <w:rFonts w:ascii="Arial" w:cs="Arial" w:eastAsia="Arial" w:hAnsi="Arial"/>
          <w:b/>
          <w:bCs/>
          <w:color w:val="14171A"/>
          <w:sz w:val="25"/>
          <w:szCs w:val="25"/>
        </w:rPr>
        <w:t xml:space="preserve">1. What is EHS Axis used for?</w:t>
      </w:r>
    </w:p>
    <w:p>
      <w:pPr>
        <w:spacing w:after="140" w:line="300"/>
      </w:pPr>
      <w:r>
        <w:rPr>
          <w:rFonts w:ascii="Arial" w:cs="Arial" w:eastAsia="Arial" w:hAnsi="Arial"/>
          <w:color w:val="14171A"/>
          <w:sz w:val="21"/>
          <w:szCs w:val="21"/>
        </w:rPr>
        <w:t xml:space="preserve">EHS Axis is a web application for occupational health, safety and environmental management. It replaces spreadsheets and paper forms for:</w:t>
      </w:r>
    </w:p>
    <w:p>
      <w:pPr>
        <w:pStyle w:val="ListParagraph"/>
        <w:numPr>
          <w:ilvl w:val="0"/>
          <w:numId w:val="2"/>
        </w:numPr>
        <w:spacing w:after="80" w:line="290"/>
      </w:pPr>
      <w:r>
        <w:rPr>
          <w:rFonts w:ascii="Arial" w:cs="Arial" w:eastAsia="Arial" w:hAnsi="Arial"/>
          <w:color w:val="14171A"/>
          <w:sz w:val="21"/>
          <w:szCs w:val="21"/>
        </w:rPr>
        <w:t xml:space="preserve">Non-conformities (hazards, defects) with photos, responsible person and deadline; corrective and preventive actions</w:t>
      </w:r>
    </w:p>
    <w:p>
      <w:pPr>
        <w:pStyle w:val="ListParagraph"/>
        <w:numPr>
          <w:ilvl w:val="0"/>
          <w:numId w:val="2"/>
        </w:numPr>
        <w:spacing w:after="80" w:line="290"/>
      </w:pPr>
      <w:r>
        <w:rPr>
          <w:rFonts w:ascii="Arial" w:cs="Arial" w:eastAsia="Arial" w:hAnsi="Arial"/>
          <w:color w:val="14171A"/>
          <w:sz w:val="21"/>
          <w:szCs w:val="21"/>
        </w:rPr>
        <w:t xml:space="preserve">Audits and safety walks with checklists</w:t>
      </w:r>
    </w:p>
    <w:p>
      <w:pPr>
        <w:pStyle w:val="ListParagraph"/>
        <w:numPr>
          <w:ilvl w:val="0"/>
          <w:numId w:val="2"/>
        </w:numPr>
        <w:spacing w:after="80" w:line="290"/>
      </w:pPr>
      <w:r>
        <w:rPr>
          <w:rFonts w:ascii="Arial" w:cs="Arial" w:eastAsia="Arial" w:hAnsi="Arial"/>
          <w:color w:val="14171A"/>
          <w:sz w:val="21"/>
          <w:szCs w:val="21"/>
        </w:rPr>
        <w:t xml:space="preserve">Risk assessment (likelihood × severity)</w:t>
      </w:r>
    </w:p>
    <w:p>
      <w:pPr>
        <w:pStyle w:val="ListParagraph"/>
        <w:numPr>
          <w:ilvl w:val="0"/>
          <w:numId w:val="2"/>
        </w:numPr>
        <w:spacing w:after="80" w:line="290"/>
      </w:pPr>
      <w:r>
        <w:rPr>
          <w:rFonts w:ascii="Arial" w:cs="Arial" w:eastAsia="Arial" w:hAnsi="Arial"/>
          <w:color w:val="14171A"/>
          <w:sz w:val="21"/>
          <w:szCs w:val="21"/>
        </w:rPr>
        <w:t xml:space="preserve">Incident register (accidents at work, near misses, first-aid cases, dangerous occurrences) and their investigation</w:t>
      </w:r>
    </w:p>
    <w:p>
      <w:pPr>
        <w:pStyle w:val="ListParagraph"/>
        <w:numPr>
          <w:ilvl w:val="0"/>
          <w:numId w:val="2"/>
        </w:numPr>
        <w:spacing w:after="80" w:line="290"/>
      </w:pPr>
      <w:r>
        <w:rPr>
          <w:rFonts w:ascii="Arial" w:cs="Arial" w:eastAsia="Arial" w:hAnsi="Arial"/>
          <w:color w:val="14171A"/>
          <w:sz w:val="21"/>
          <w:szCs w:val="21"/>
        </w:rPr>
        <w:t xml:space="preserve">Periodic inspections of work equipment</w:t>
      </w:r>
    </w:p>
    <w:p>
      <w:pPr>
        <w:pStyle w:val="ListParagraph"/>
        <w:numPr>
          <w:ilvl w:val="0"/>
          <w:numId w:val="2"/>
        </w:numPr>
        <w:spacing w:after="80" w:line="290"/>
      </w:pPr>
      <w:r>
        <w:rPr>
          <w:rFonts w:ascii="Arial" w:cs="Arial" w:eastAsia="Arial" w:hAnsi="Arial"/>
          <w:color w:val="14171A"/>
          <w:sz w:val="21"/>
          <w:szCs w:val="21"/>
        </w:rPr>
        <w:t xml:space="preserve">Training records and training matrix</w:t>
      </w:r>
    </w:p>
    <w:p>
      <w:pPr>
        <w:spacing w:after="140" w:line="300"/>
      </w:pPr>
      <w:r>
        <w:rPr>
          <w:rFonts w:ascii="Arial" w:cs="Arial" w:eastAsia="Arial" w:hAnsi="Arial"/>
          <w:color w:val="14171A"/>
          <w:sz w:val="21"/>
          <w:szCs w:val="21"/>
        </w:rPr>
        <w:t xml:space="preserve">The purpose is to improve occupational safety and to meet legal documentation obligations — not to monitor the performance or behaviour of employees.</w:t>
      </w:r>
    </w:p>
    <w:p>
      <w:pPr>
        <w:keepNext/>
        <w:spacing w:after="120" w:before="280"/>
      </w:pPr>
      <w:r>
        <w:rPr>
          <w:rFonts w:ascii="Arial" w:cs="Arial" w:eastAsia="Arial" w:hAnsi="Arial"/>
          <w:b/>
          <w:bCs/>
          <w:color w:val="14171A"/>
          <w:sz w:val="25"/>
          <w:szCs w:val="25"/>
        </w:rPr>
        <w:t xml:space="preserve">2. Which employee data is processed?</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2069"/>
        <w:gridCol w:w="4515"/>
        <w:gridCol w:w="2822"/>
      </w:tblGrid>
      <w:tr>
        <w:trPr>
          <w:tblHeader/>
        </w:trPr>
        <w:tc>
          <w:tcPr>
            <w:tcW w:type="pct" w:w="11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Data subjects</w:t>
            </w:r>
          </w:p>
        </w:tc>
        <w:tc>
          <w:tcPr>
            <w:tcW w:type="pct" w:w="24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Data categories</w:t>
            </w:r>
          </w:p>
        </w:tc>
        <w:tc>
          <w:tcPr>
            <w:tcW w:type="pct" w:w="15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Where in EHS Axis</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Users (employees with an account)</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business e-mail, phone, language, role, assigned responsibilities and deadlines, entries they create (non-conformities, actions, audits, risks, incidents, training records), event log (who changed what and when), date of last sign-in</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All modules; Settings › Users</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Employees without an account</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employee number, position, department, site, business e-mail (optional), notes, training records and certificates (date, validity, trainer, certificate number, files)</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Training (training matrix)</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Injured persons and persons involved in incidents</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link to the employee record, injury type, injured body part, severity, days of absence (health data, Art. 9 GDPR); description of the event, witnesses' statements if entered; optional personal details for the national accident report</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Incidents</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Persons visible in photos</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Images uploaded as evidence (non-conformities, audits, incidents); metadata (EXIF, GPS) is removed on upload</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Photos and attachments</w:t>
            </w:r>
          </w:p>
        </w:tc>
      </w:tr>
    </w:tbl>
    <w:p>
      <w:pPr>
        <w:spacing w:after="100" w:before="0" w:line="20" w:lineRule="exact"/>
      </w:pPr>
      <w:r>
        <w:rPr>
          <w:sz w:val="2"/>
          <w:szCs w:val="2"/>
        </w:rPr>
        <w:t xml:space="preserve"/>
      </w:r>
    </w:p>
    <w:p>
      <w:pPr>
        <w:keepNext/>
        <w:spacing w:after="120" w:before="280"/>
      </w:pPr>
      <w:r>
        <w:rPr>
          <w:rFonts w:ascii="Arial" w:cs="Arial" w:eastAsia="Arial" w:hAnsi="Arial"/>
          <w:b/>
          <w:bCs/>
          <w:color w:val="14171A"/>
          <w:sz w:val="25"/>
          <w:szCs w:val="25"/>
        </w:rPr>
        <w:t xml:space="preserve">3. Who can see what?</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2352"/>
        <w:gridCol w:w="7055"/>
      </w:tblGrid>
      <w:tr>
        <w:trPr>
          <w:tblHeader/>
        </w:trPr>
        <w:tc>
          <w:tcPr>
            <w:tcW w:type="pct" w:w="12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Role</w:t>
            </w:r>
          </w:p>
        </w:tc>
        <w:tc>
          <w:tcPr>
            <w:tcW w:type="pct" w:w="37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Access</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Viewer</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Read access to non-conformities, actions, audits, risks, equipment and training</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Reporter</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Can also report non-conformities and incidents and carry out audits</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Responsible</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Can also edit items assigned to them and import data</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Approver</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Can also approve and close non-conformities</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Administrator</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Can also manage users, master data and settings; sees injury details in incident records</w:t>
            </w:r>
          </w:p>
        </w:tc>
      </w:tr>
      <w:tr>
        <w:tc>
          <w:tcPr>
            <w:tcW w:type="pct" w:w="1250"/>
            <w:tcMar>
              <w:top w:type="dxa" w:w="70"/>
              <w:left w:type="dxa" w:w="100"/>
              <w:bottom w:type="dxa" w:w="70"/>
              <w:right w:type="dxa" w:w="100"/>
            </w:tcMar>
          </w:tcPr>
          <w:p>
            <w:r>
              <w:rPr>
                <w:rFonts w:ascii="Arial" w:cs="Arial" w:eastAsia="Arial" w:hAnsi="Arial"/>
                <w:b w:val="false"/>
                <w:bCs w:val="false"/>
                <w:color w:val="14171A"/>
                <w:sz w:val="18"/>
                <w:szCs w:val="18"/>
              </w:rPr>
              <w:t xml:space="preserve">Owner</w:t>
            </w:r>
          </w:p>
        </w:tc>
        <w:tc>
          <w:tcPr>
            <w:tcW w:type="pct" w:w="3750"/>
            <w:tcMar>
              <w:top w:type="dxa" w:w="70"/>
              <w:left w:type="dxa" w:w="100"/>
              <w:bottom w:type="dxa" w:w="70"/>
              <w:right w:type="dxa" w:w="100"/>
            </w:tcMar>
          </w:tcPr>
          <w:p>
            <w:r>
              <w:rPr>
                <w:rFonts w:ascii="Arial" w:cs="Arial" w:eastAsia="Arial" w:hAnsi="Arial"/>
                <w:b w:val="false"/>
                <w:bCs w:val="false"/>
                <w:color w:val="14171A"/>
                <w:sz w:val="18"/>
                <w:szCs w:val="18"/>
              </w:rPr>
              <w:t xml:space="preserve">Like administrator; subscription, data export and company-wide security settings</w:t>
            </w:r>
          </w:p>
        </w:tc>
      </w:tr>
    </w:tbl>
    <w:p>
      <w:pPr>
        <w:spacing w:after="100" w:before="0" w:line="20" w:lineRule="exact"/>
      </w:pPr>
      <w:r>
        <w:rPr>
          <w:sz w:val="2"/>
          <w:szCs w:val="2"/>
        </w:rPr>
        <w:t xml:space="preserve"/>
      </w:r>
    </w:p>
    <w:p>
      <w:pPr>
        <w:spacing w:after="140" w:line="300"/>
      </w:pPr>
      <w:r>
        <w:rPr>
          <w:rFonts w:ascii="Arial" w:cs="Arial" w:eastAsia="Arial" w:hAnsi="Arial"/>
          <w:color w:val="14171A"/>
          <w:sz w:val="21"/>
          <w:szCs w:val="21"/>
        </w:rPr>
        <w:t xml:space="preserve">Health data of injured persons (injury type, body part, severity, absence, personal details) is visible only to administrators and the investigator designated for the incident — not to other users, not in exports for non-administrators and not in the non-conformities created from an incident.</w:t>
      </w:r>
    </w:p>
    <w:p>
      <w:pPr>
        <w:spacing w:after="140" w:line="300"/>
      </w:pPr>
      <w:r>
        <w:rPr>
          <w:rFonts w:ascii="Arial" w:cs="Arial" w:eastAsia="Arial" w:hAnsi="Arial"/>
          <w:color w:val="14171A"/>
          <w:sz w:val="21"/>
          <w:szCs w:val="21"/>
        </w:rPr>
        <w:t xml:space="preserve">The provider (Cyber in Systems Kft.) processes the data only on behalf of the company under a data processing agreement and accesses it only where necessary for operation or support.</w:t>
      </w:r>
    </w:p>
    <w:p>
      <w:pPr>
        <w:keepNext/>
        <w:spacing w:after="120" w:before="280"/>
      </w:pPr>
      <w:r>
        <w:rPr>
          <w:rFonts w:ascii="Arial" w:cs="Arial" w:eastAsia="Arial" w:hAnsi="Arial"/>
          <w:b/>
          <w:bCs/>
          <w:color w:val="14171A"/>
          <w:sz w:val="25"/>
          <w:szCs w:val="25"/>
        </w:rPr>
        <w:t xml:space="preserve">4. Data that could be used for performance or behaviour monitoring</w:t>
      </w:r>
    </w:p>
    <w:p>
      <w:pPr>
        <w:spacing w:after="140" w:line="300"/>
      </w:pPr>
      <w:r>
        <w:rPr>
          <w:rFonts w:ascii="Arial" w:cs="Arial" w:eastAsia="Arial" w:hAnsi="Arial"/>
          <w:color w:val="14171A"/>
          <w:sz w:val="21"/>
          <w:szCs w:val="21"/>
        </w:rPr>
        <w:t xml:space="preserve">Like most business software, EHS Axis records some data that is objectively suitable for drawing conclusions about the behaviour or performance of employees. We list them transparently:</w:t>
      </w:r>
    </w:p>
    <w:p>
      <w:pPr>
        <w:pStyle w:val="ListParagraph"/>
        <w:numPr>
          <w:ilvl w:val="0"/>
          <w:numId w:val="2"/>
        </w:numPr>
        <w:spacing w:after="80" w:line="290"/>
      </w:pPr>
      <w:r>
        <w:rPr>
          <w:rFonts w:ascii="Arial" w:cs="Arial" w:eastAsia="Arial" w:hAnsi="Arial"/>
          <w:color w:val="14171A"/>
          <w:sz w:val="21"/>
          <w:szCs w:val="21"/>
        </w:rPr>
        <w:t xml:space="preserve">Event log for each non-conformity: who created, changed, approved or closed it and when.</w:t>
      </w:r>
    </w:p>
    <w:p>
      <w:pPr>
        <w:pStyle w:val="ListParagraph"/>
        <w:numPr>
          <w:ilvl w:val="0"/>
          <w:numId w:val="2"/>
        </w:numPr>
        <w:spacing w:after="80" w:line="290"/>
      </w:pPr>
      <w:r>
        <w:rPr>
          <w:rFonts w:ascii="Arial" w:cs="Arial" w:eastAsia="Arial" w:hAnsi="Arial"/>
          <w:color w:val="14171A"/>
          <w:sz w:val="21"/>
          <w:szCs w:val="21"/>
        </w:rPr>
        <w:t xml:space="preserve">Assigned responsibilities and deadlines, including overdue items and e-mail reminders.</w:t>
      </w:r>
    </w:p>
    <w:p>
      <w:pPr>
        <w:pStyle w:val="ListParagraph"/>
        <w:numPr>
          <w:ilvl w:val="0"/>
          <w:numId w:val="2"/>
        </w:numPr>
        <w:spacing w:after="80" w:line="290"/>
      </w:pPr>
      <w:r>
        <w:rPr>
          <w:rFonts w:ascii="Arial" w:cs="Arial" w:eastAsia="Arial" w:hAnsi="Arial"/>
          <w:color w:val="14171A"/>
          <w:sz w:val="21"/>
          <w:szCs w:val="21"/>
        </w:rPr>
        <w:t xml:space="preserve">Reports: number of non-conformities per responsible person (total, open, overdue) and per reporter. These per-person tables can be switched off company-wide by the owner (Settings › Data protection › Per-person reports).</w:t>
      </w:r>
    </w:p>
    <w:p>
      <w:pPr>
        <w:pStyle w:val="ListParagraph"/>
        <w:numPr>
          <w:ilvl w:val="0"/>
          <w:numId w:val="2"/>
        </w:numPr>
        <w:spacing w:after="80" w:line="290"/>
      </w:pPr>
      <w:r>
        <w:rPr>
          <w:rFonts w:ascii="Arial" w:cs="Arial" w:eastAsia="Arial" w:hAnsi="Arial"/>
          <w:color w:val="14171A"/>
          <w:sz w:val="21"/>
          <w:szCs w:val="21"/>
        </w:rPr>
        <w:t xml:space="preserve">User list: date of the last sign-in (for administrators, for access management).</w:t>
      </w:r>
    </w:p>
    <w:p>
      <w:pPr>
        <w:spacing w:after="140" w:line="300"/>
      </w:pPr>
      <w:r>
        <w:rPr>
          <w:rFonts w:ascii="Arial" w:cs="Arial" w:eastAsia="Arial" w:hAnsi="Arial"/>
          <w:color w:val="14171A"/>
          <w:sz w:val="21"/>
          <w:szCs w:val="21"/>
        </w:rPr>
        <w:t xml:space="preserve">EHS Axis does not record working time, location (photo metadata including GPS is removed), keystrokes, screen activity or browsing behaviour, and it does not create automated performance ratings or profiles of employees.</w:t>
      </w:r>
    </w:p>
    <w:p>
      <w:pPr>
        <w:keepNext/>
        <w:spacing w:after="120" w:before="280"/>
      </w:pPr>
      <w:r>
        <w:rPr>
          <w:rFonts w:ascii="Arial" w:cs="Arial" w:eastAsia="Arial" w:hAnsi="Arial"/>
          <w:b/>
          <w:bCs/>
          <w:color w:val="14171A"/>
          <w:sz w:val="25"/>
          <w:szCs w:val="25"/>
        </w:rPr>
        <w:t xml:space="preserve">5. Security, location and retention</w:t>
      </w:r>
    </w:p>
    <w:p>
      <w:pPr>
        <w:pStyle w:val="ListParagraph"/>
        <w:numPr>
          <w:ilvl w:val="0"/>
          <w:numId w:val="2"/>
        </w:numPr>
        <w:spacing w:after="80" w:line="290"/>
      </w:pPr>
      <w:r>
        <w:rPr>
          <w:rFonts w:ascii="Arial" w:cs="Arial" w:eastAsia="Arial" w:hAnsi="Arial"/>
          <w:color w:val="14171A"/>
          <w:sz w:val="21"/>
          <w:szCs w:val="21"/>
        </w:rPr>
        <w:t xml:space="preserve">Encryption in transit (TLS 1.2/1.3, HSTS); passwords as salted one-way hashes (bcrypt); two-factor authentication secrets encrypted (AES-256-GCM).</w:t>
      </w:r>
    </w:p>
    <w:p>
      <w:pPr>
        <w:pStyle w:val="ListParagraph"/>
        <w:numPr>
          <w:ilvl w:val="0"/>
          <w:numId w:val="2"/>
        </w:numPr>
        <w:spacing w:after="80" w:line="290"/>
      </w:pPr>
      <w:r>
        <w:rPr>
          <w:rFonts w:ascii="Arial" w:cs="Arial" w:eastAsia="Arial" w:hAnsi="Arial"/>
          <w:color w:val="14171A"/>
          <w:sz w:val="21"/>
          <w:szCs w:val="21"/>
        </w:rPr>
        <w:t xml:space="preserve">Role-based access (owner, administrator, approver, responsible, reporter, viewer); health data in incident records visible only to administrators and the designated investigator.</w:t>
      </w:r>
    </w:p>
    <w:p>
      <w:pPr>
        <w:pStyle w:val="ListParagraph"/>
        <w:numPr>
          <w:ilvl w:val="0"/>
          <w:numId w:val="2"/>
        </w:numPr>
        <w:spacing w:after="80" w:line="290"/>
      </w:pPr>
      <w:r>
        <w:rPr>
          <w:rFonts w:ascii="Arial" w:cs="Arial" w:eastAsia="Arial" w:hAnsi="Arial"/>
          <w:color w:val="14171A"/>
          <w:sz w:val="21"/>
          <w:szCs w:val="21"/>
        </w:rPr>
        <w:t xml:space="preserve">Two-factor authentication, which the customer can make mandatory for administrators or all users; sign-in attempt limiting; all other sessions are revoked when a password changes.</w:t>
      </w:r>
    </w:p>
    <w:p>
      <w:pPr>
        <w:pStyle w:val="ListParagraph"/>
        <w:numPr>
          <w:ilvl w:val="0"/>
          <w:numId w:val="2"/>
        </w:numPr>
        <w:spacing w:after="80" w:line="290"/>
      </w:pPr>
      <w:r>
        <w:rPr>
          <w:rFonts w:ascii="Arial" w:cs="Arial" w:eastAsia="Arial" w:hAnsi="Arial"/>
          <w:color w:val="14171A"/>
          <w:sz w:val="21"/>
          <w:szCs w:val="21"/>
        </w:rPr>
        <w:t xml:space="preserve">Logical separation of customer workspaces in every query, verified by automated tests before each release.</w:t>
      </w:r>
    </w:p>
    <w:p>
      <w:pPr>
        <w:pStyle w:val="ListParagraph"/>
        <w:numPr>
          <w:ilvl w:val="0"/>
          <w:numId w:val="2"/>
        </w:numPr>
        <w:spacing w:after="80" w:line="290"/>
      </w:pPr>
      <w:r>
        <w:rPr>
          <w:rFonts w:ascii="Arial" w:cs="Arial" w:eastAsia="Arial" w:hAnsi="Arial"/>
          <w:color w:val="14171A"/>
          <w:sz w:val="21"/>
          <w:szCs w:val="21"/>
        </w:rPr>
        <w:t xml:space="preserve">File type checked by content; files downloadable only by members of the workspace; photo metadata (EXIF, GPS) removed.</w:t>
      </w:r>
    </w:p>
    <w:p>
      <w:pPr>
        <w:pStyle w:val="ListParagraph"/>
        <w:numPr>
          <w:ilvl w:val="0"/>
          <w:numId w:val="2"/>
        </w:numPr>
        <w:spacing w:after="80" w:line="290"/>
      </w:pPr>
      <w:r>
        <w:rPr>
          <w:rFonts w:ascii="Arial" w:cs="Arial" w:eastAsia="Arial" w:hAnsi="Arial"/>
          <w:color w:val="14171A"/>
          <w:sz w:val="21"/>
          <w:szCs w:val="21"/>
        </w:rPr>
        <w:t xml:space="preserve">Daily backups of database and files, kept 14 days and copied daily to a separate server; weekly automated restore test; recovery objectives RPO 24 hours, RTO 1 business day.</w:t>
      </w:r>
    </w:p>
    <w:p>
      <w:pPr>
        <w:pStyle w:val="ListParagraph"/>
        <w:numPr>
          <w:ilvl w:val="0"/>
          <w:numId w:val="2"/>
        </w:numPr>
        <w:spacing w:after="80" w:line="290"/>
      </w:pPr>
      <w:r>
        <w:rPr>
          <w:rFonts w:ascii="Arial" w:cs="Arial" w:eastAsia="Arial" w:hAnsi="Arial"/>
          <w:color w:val="14171A"/>
          <w:sz w:val="21"/>
          <w:szCs w:val="21"/>
        </w:rPr>
        <w:t xml:space="preserve">Availability monitoring every 5 minutes with alerting; server and application logs kept 30 days.</w:t>
      </w:r>
    </w:p>
    <w:p>
      <w:pPr>
        <w:pStyle w:val="ListParagraph"/>
        <w:numPr>
          <w:ilvl w:val="0"/>
          <w:numId w:val="2"/>
        </w:numPr>
        <w:spacing w:after="80" w:line="290"/>
      </w:pPr>
      <w:r>
        <w:rPr>
          <w:rFonts w:ascii="Arial" w:cs="Arial" w:eastAsia="Arial" w:hAnsi="Arial"/>
          <w:color w:val="14171A"/>
          <w:sz w:val="21"/>
          <w:szCs w:val="21"/>
        </w:rPr>
        <w:t xml:space="preserve">Data centre in the EU (Czech Republic); breach notification to the customer within 48 hours.</w:t>
      </w:r>
    </w:p>
    <w:p>
      <w:pPr>
        <w:spacing w:after="140" w:line="300"/>
      </w:pPr>
      <w:r>
        <w:rPr>
          <w:rFonts w:ascii="Arial" w:cs="Arial" w:eastAsia="Arial" w:hAnsi="Arial"/>
          <w:color w:val="14171A"/>
          <w:sz w:val="21"/>
          <w:szCs w:val="21"/>
        </w:rPr>
        <w:t xml:space="preserve">Retention: entries are kept as long as the company needs them for its documentation obligations and can be deleted by authorised users. After the end of the contract, data is read-only for 90 days and then deleted.</w:t>
      </w:r>
    </w:p>
    <w:p>
      <w:pPr>
        <w:keepNext/>
        <w:spacing w:after="120" w:before="280"/>
      </w:pPr>
      <w:r>
        <w:rPr>
          <w:rFonts w:ascii="Arial" w:cs="Arial" w:eastAsia="Arial" w:hAnsi="Arial"/>
          <w:b/>
          <w:bCs/>
          <w:color w:val="14171A"/>
          <w:sz w:val="25"/>
          <w:szCs w:val="25"/>
        </w:rPr>
        <w:t xml:space="preserve">6. Co-determination — country notes</w:t>
      </w:r>
    </w:p>
    <w:p>
      <w:pPr>
        <w:pBdr>
          <w:left w:val="single" w:color="C9F73D" w:sz="18" w:space="8"/>
        </w:pBdr>
        <w:shd w:fill="F1F3F2" w:color="auto" w:val="clear"/>
        <w:spacing w:after="160" w:line="280"/>
      </w:pPr>
      <w:r>
        <w:rPr>
          <w:rFonts w:ascii="Arial" w:cs="Arial" w:eastAsia="Arial" w:hAnsi="Arial"/>
          <w:i/>
          <w:iCs/>
          <w:color w:val="56636A"/>
          <w:sz w:val="19"/>
          <w:szCs w:val="19"/>
        </w:rPr>
        <w:t xml:space="preserve">These notes are a general overview, not legal advice. The employer is responsible for the correct involvement of employee representatives.</w:t>
      </w:r>
    </w:p>
    <w:p>
      <w:pPr>
        <w:pStyle w:val="ListParagraph"/>
        <w:numPr>
          <w:ilvl w:val="0"/>
          <w:numId w:val="2"/>
        </w:numPr>
        <w:spacing w:after="80" w:line="290"/>
      </w:pPr>
      <w:r>
        <w:rPr>
          <w:rFonts w:ascii="Arial" w:cs="Arial" w:eastAsia="Arial" w:hAnsi="Arial"/>
          <w:color w:val="14171A"/>
          <w:sz w:val="21"/>
          <w:szCs w:val="21"/>
        </w:rPr>
        <w:t xml:space="preserve">Germany: EHS Axis is technically suitable for monitoring within the meaning of § 87(1) no. 6 BetrVG (case law of the Federal Labour Court), so the works council has a right of co-determination; in addition the information rights under §§ 80(2) and 90 BetrVG apply. A works agreement is the usual solution (template enclosed). Occupational safety measures may also be subject to § 87(1) no. 7 BetrVG.</w:t>
      </w:r>
    </w:p>
    <w:p>
      <w:pPr>
        <w:pStyle w:val="ListParagraph"/>
        <w:numPr>
          <w:ilvl w:val="0"/>
          <w:numId w:val="2"/>
        </w:numPr>
        <w:spacing w:after="80" w:line="290"/>
      </w:pPr>
      <w:r>
        <w:rPr>
          <w:rFonts w:ascii="Arial" w:cs="Arial" w:eastAsia="Arial" w:hAnsi="Arial"/>
          <w:color w:val="14171A"/>
          <w:sz w:val="21"/>
          <w:szCs w:val="21"/>
        </w:rPr>
        <w:t xml:space="preserve">Austria: introduction of systems that process employees' personal data generally requires the consent of the works council under § 96a ArbVG (or a decision of the conciliation body); control measures affecting human dignity are subject to § 96(1) no. 3 ArbVG.</w:t>
      </w:r>
    </w:p>
    <w:p>
      <w:pPr>
        <w:pStyle w:val="ListParagraph"/>
        <w:numPr>
          <w:ilvl w:val="0"/>
          <w:numId w:val="2"/>
        </w:numPr>
        <w:spacing w:after="80" w:line="290"/>
      </w:pPr>
      <w:r>
        <w:rPr>
          <w:rFonts w:ascii="Arial" w:cs="Arial" w:eastAsia="Arial" w:hAnsi="Arial"/>
          <w:color w:val="14171A"/>
          <w:sz w:val="21"/>
          <w:szCs w:val="21"/>
        </w:rPr>
        <w:t xml:space="preserve">Switzerland: there is no comparable co-determination right, but employees must be informed and consulted (Art. 48 ArG, Art. 6 ArGV 3); monitoring systems aimed at controlling employees' behaviour are prohibited (Art. 26 ArGV 3). The data protection principles of the revised FADP apply.</w:t>
      </w:r>
    </w:p>
    <w:p>
      <w:pPr>
        <w:keepNext/>
        <w:spacing w:after="120" w:before="280"/>
      </w:pPr>
      <w:r>
        <w:rPr>
          <w:rFonts w:ascii="Arial" w:cs="Arial" w:eastAsia="Arial" w:hAnsi="Arial"/>
          <w:b/>
          <w:bCs/>
          <w:color w:val="14171A"/>
          <w:sz w:val="25"/>
          <w:szCs w:val="25"/>
        </w:rPr>
        <w:t xml:space="preserve">7. Contacts</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3762"/>
        <w:gridCol w:w="5644"/>
      </w:tblGrid>
      <w:tr>
        <w:trPr>
          <w:tblHeader/>
        </w:trPr>
        <w:tc>
          <w:tcPr>
            <w:tcW w:type="pct" w:w="20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Function</w:t>
            </w:r>
          </w:p>
        </w:tc>
        <w:tc>
          <w:tcPr>
            <w:tcW w:type="pct" w:w="30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Name / contact</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Project lead (employer)</w:t>
            </w:r>
          </w:p>
        </w:tc>
        <w:tc>
          <w:tcPr>
            <w:tcW w:type="pct" w:w="300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Data protection officer</w:t>
            </w:r>
          </w:p>
        </w:tc>
        <w:tc>
          <w:tcPr>
            <w:tcW w:type="pct" w:w="300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Occupational safety specialist</w:t>
            </w:r>
          </w:p>
        </w:tc>
        <w:tc>
          <w:tcPr>
            <w:tcW w:type="pct" w:w="300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Provider</w:t>
            </w:r>
          </w:p>
        </w:tc>
        <w:tc>
          <w:tcPr>
            <w:tcW w:type="pct" w:w="3000"/>
            <w:tcMar>
              <w:top w:type="dxa" w:w="70"/>
              <w:left w:type="dxa" w:w="100"/>
              <w:bottom w:type="dxa" w:w="70"/>
              <w:right w:type="dxa" w:w="100"/>
            </w:tcMar>
          </w:tcPr>
          <w:p>
            <w:r>
              <w:rPr>
                <w:rFonts w:ascii="Arial" w:cs="Arial" w:eastAsia="Arial" w:hAnsi="Arial"/>
                <w:b w:val="false"/>
                <w:bCs w:val="false"/>
                <w:color w:val="14171A"/>
                <w:sz w:val="18"/>
                <w:szCs w:val="18"/>
              </w:rPr>
              <w:t xml:space="preserve">Cyber in Systems Kft., info@ehsaxis.com</w:t>
            </w:r>
          </w:p>
        </w:tc>
      </w:tr>
    </w:tbl>
    <w:p>
      <w:pPr>
        <w:spacing w:after="100" w:before="0" w:line="20" w:lineRule="exact"/>
      </w:pPr>
      <w:r>
        <w:rPr>
          <w:sz w:val="2"/>
          <w:szCs w:val="2"/>
        </w:rPr>
        <w:t xml:space="preserve"/>
      </w:r>
    </w:p>
    <w:sectPr>
      <w:headerReference w:type="default" r:id="rId6"/>
      <w:footerReference w:type="default" r:id="rId7"/>
      <w:pgSz w:w="11906" w:h="16838" w:orient="portrait"/>
      <w:pgMar w:top="1300" w:right="1250" w:bottom="1200" w:left="12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6636A"/>
        <w:sz w:val="16"/>
        <w:szCs w:val="16"/>
      </w:rPr>
      <w:t xml:space="preserve">EHS Axis — Information for the works council · 2026-10 · </w:t>
    </w:r>
    <w:r>
      <w:rPr>
        <w:rFonts w:ascii="Arial" w:cs="Arial" w:eastAsia="Arial" w:hAnsi="Arial"/>
        <w:color w:val="5663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b/>
        <w:bCs/>
        <w:color w:val="14171A"/>
        <w:sz w:val="18"/>
        <w:szCs w:val="18"/>
      </w:rPr>
      <w:t xml:space="preserve">EHS </w:t>
    </w:r>
    <w:r>
      <w:rPr>
        <w:rFonts w:ascii="Arial" w:cs="Arial" w:eastAsia="Arial" w:hAnsi="Arial"/>
        <w:color w:val="14171A"/>
        <w:sz w:val="18"/>
        <w:szCs w:val="18"/>
      </w:rPr>
      <w:t xml:space="preserve">Axis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for the works council</dc:title>
  <dc:creator>EHS Axis</dc:creator>
  <dc:description>Introduction of the EHS Axis software</dc:description>
  <cp:lastModifiedBy>Un-named</cp:lastModifiedBy>
  <cp:revision>1</cp:revision>
  <dcterms:created xsi:type="dcterms:W3CDTF">2026-10-14T15:37:34.112Z</dcterms:created>
  <dcterms:modified xsi:type="dcterms:W3CDTF">2026-10-14T15:37:34.112Z</dcterms:modified>
</cp:coreProperties>
</file>

<file path=docProps/custom.xml><?xml version="1.0" encoding="utf-8"?>
<Properties xmlns="http://schemas.openxmlformats.org/officeDocument/2006/custom-properties" xmlns:vt="http://schemas.openxmlformats.org/officeDocument/2006/docPropsVTypes"/>
</file>