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Information für den Betriebsrat</w:t>
      </w:r>
    </w:p>
    <w:p>
      <w:pPr>
        <w:pBdr>
          <w:bottom w:val="single" w:color="14171A" w:sz="12" w:space="6"/>
        </w:pBdr>
        <w:spacing w:after="260"/>
      </w:pPr>
      <w:r>
        <w:rPr>
          <w:rFonts w:ascii="Arial" w:cs="Arial" w:eastAsia="Arial" w:hAnsi="Arial"/>
          <w:color w:val="56636A"/>
          <w:sz w:val="24"/>
          <w:szCs w:val="24"/>
        </w:rPr>
        <w:t xml:space="preserve">Einführung der Software EHS Axis</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Vorlage von Cyber in Systems Kft. für Kunden von EHS Axis (Version 2026-10). Sie stellt keine Rechtsberatung dar. Felder in eckigen Klammern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sind vom Kunden auszufüllen bzw. zu prüfen; lassen Sie die endgültige Fassung von Ihrem Datenschutzbeauftragten und ggf. rechtlich prüfen.</w:t>
      </w:r>
    </w:p>
    <w:p>
      <w:pPr>
        <w:spacing w:after="140" w:line="300"/>
      </w:pPr>
      <w:r>
        <w:rPr>
          <w:rFonts w:ascii="Arial" w:cs="Arial" w:eastAsia="Arial" w:hAnsi="Arial"/>
          <w:color w:val="14171A"/>
          <w:sz w:val="21"/>
          <w:szCs w:val="21"/>
        </w:rPr>
        <w:t xml:space="preserve">Dieses Dokument beschreibt, welche Daten über Beschäftigte EHS Axis verarbeitet, wer sie einsehen kann und welche technischen Schutzmaßnahmen bestehen. Es dient dazu, den Betriebsrat (bzw. die Personalvertretung) frühzeitig und umfassend zu unterrichten, und kann als Grundlage für eine Betriebsvereinbarung dienen, sofern eine solche erforderlich ist.</w:t>
      </w:r>
    </w:p>
    <w:p>
      <w:pPr>
        <w:keepNext/>
        <w:spacing w:after="120" w:before="280"/>
      </w:pPr>
      <w:r>
        <w:rPr>
          <w:rFonts w:ascii="Arial" w:cs="Arial" w:eastAsia="Arial" w:hAnsi="Arial"/>
          <w:b/>
          <w:bCs/>
          <w:color w:val="14171A"/>
          <w:sz w:val="25"/>
          <w:szCs w:val="25"/>
        </w:rPr>
        <w:t xml:space="preserve">1. Wofür wird EHS Axis eingesetzt?</w:t>
      </w:r>
    </w:p>
    <w:p>
      <w:pPr>
        <w:spacing w:after="140" w:line="300"/>
      </w:pPr>
      <w:r>
        <w:rPr>
          <w:rFonts w:ascii="Arial" w:cs="Arial" w:eastAsia="Arial" w:hAnsi="Arial"/>
          <w:color w:val="14171A"/>
          <w:sz w:val="21"/>
          <w:szCs w:val="21"/>
        </w:rPr>
        <w:t xml:space="preserve">EHS Axis ist eine Webanwendung für das Arbeits-, Gesundheits- und Umweltschutzmanagement. Sie ersetzt Tabellen und Papierformulare für:</w:t>
      </w:r>
    </w:p>
    <w:p>
      <w:pPr>
        <w:pStyle w:val="ListParagraph"/>
        <w:numPr>
          <w:ilvl w:val="0"/>
          <w:numId w:val="2"/>
        </w:numPr>
        <w:spacing w:after="80" w:line="290"/>
      </w:pPr>
      <w:r>
        <w:rPr>
          <w:rFonts w:ascii="Arial" w:cs="Arial" w:eastAsia="Arial" w:hAnsi="Arial"/>
          <w:color w:val="14171A"/>
          <w:sz w:val="21"/>
          <w:szCs w:val="21"/>
        </w:rPr>
        <w:t xml:space="preserve">Abweichungen (Gefahren, Mängel) mit Fotos, verantwortlicher Person und Frist; Korrektur- und Vorbeugemaßnahmen</w:t>
      </w:r>
    </w:p>
    <w:p>
      <w:pPr>
        <w:pStyle w:val="ListParagraph"/>
        <w:numPr>
          <w:ilvl w:val="0"/>
          <w:numId w:val="2"/>
        </w:numPr>
        <w:spacing w:after="80" w:line="290"/>
      </w:pPr>
      <w:r>
        <w:rPr>
          <w:rFonts w:ascii="Arial" w:cs="Arial" w:eastAsia="Arial" w:hAnsi="Arial"/>
          <w:color w:val="14171A"/>
          <w:sz w:val="21"/>
          <w:szCs w:val="21"/>
        </w:rPr>
        <w:t xml:space="preserve">Audits und Sicherheitsbegehungen mit Checklisten</w:t>
      </w:r>
    </w:p>
    <w:p>
      <w:pPr>
        <w:pStyle w:val="ListParagraph"/>
        <w:numPr>
          <w:ilvl w:val="0"/>
          <w:numId w:val="2"/>
        </w:numPr>
        <w:spacing w:after="80" w:line="290"/>
      </w:pPr>
      <w:r>
        <w:rPr>
          <w:rFonts w:ascii="Arial" w:cs="Arial" w:eastAsia="Arial" w:hAnsi="Arial"/>
          <w:color w:val="14171A"/>
          <w:sz w:val="21"/>
          <w:szCs w:val="21"/>
        </w:rPr>
        <w:t xml:space="preserve">Gefährdungsbeurteilung (Eintrittswahrscheinlichkeit × Schwere)</w:t>
      </w:r>
    </w:p>
    <w:p>
      <w:pPr>
        <w:pStyle w:val="ListParagraph"/>
        <w:numPr>
          <w:ilvl w:val="0"/>
          <w:numId w:val="2"/>
        </w:numPr>
        <w:spacing w:after="80" w:line="290"/>
      </w:pPr>
      <w:r>
        <w:rPr>
          <w:rFonts w:ascii="Arial" w:cs="Arial" w:eastAsia="Arial" w:hAnsi="Arial"/>
          <w:color w:val="14171A"/>
          <w:sz w:val="21"/>
          <w:szCs w:val="21"/>
        </w:rPr>
        <w:t xml:space="preserve">Unfallregister (Arbeitsunfälle, Beinaheunfälle, Erste-Hilfe-Fälle, gefährliche Ereignisse) und deren Untersuchung</w:t>
      </w:r>
    </w:p>
    <w:p>
      <w:pPr>
        <w:pStyle w:val="ListParagraph"/>
        <w:numPr>
          <w:ilvl w:val="0"/>
          <w:numId w:val="2"/>
        </w:numPr>
        <w:spacing w:after="80" w:line="290"/>
      </w:pPr>
      <w:r>
        <w:rPr>
          <w:rFonts w:ascii="Arial" w:cs="Arial" w:eastAsia="Arial" w:hAnsi="Arial"/>
          <w:color w:val="14171A"/>
          <w:sz w:val="21"/>
          <w:szCs w:val="21"/>
        </w:rPr>
        <w:t xml:space="preserve">Wiederkehrende Prüfungen von Arbeitsmitteln</w:t>
      </w:r>
    </w:p>
    <w:p>
      <w:pPr>
        <w:pStyle w:val="ListParagraph"/>
        <w:numPr>
          <w:ilvl w:val="0"/>
          <w:numId w:val="2"/>
        </w:numPr>
        <w:spacing w:after="80" w:line="290"/>
      </w:pPr>
      <w:r>
        <w:rPr>
          <w:rFonts w:ascii="Arial" w:cs="Arial" w:eastAsia="Arial" w:hAnsi="Arial"/>
          <w:color w:val="14171A"/>
          <w:sz w:val="21"/>
          <w:szCs w:val="21"/>
        </w:rPr>
        <w:t xml:space="preserve">Schulungsnachweise und Schulungsmatrix</w:t>
      </w:r>
    </w:p>
    <w:p>
      <w:pPr>
        <w:spacing w:after="140" w:line="300"/>
      </w:pPr>
      <w:r>
        <w:rPr>
          <w:rFonts w:ascii="Arial" w:cs="Arial" w:eastAsia="Arial" w:hAnsi="Arial"/>
          <w:color w:val="14171A"/>
          <w:sz w:val="21"/>
          <w:szCs w:val="21"/>
        </w:rPr>
        <w:t xml:space="preserve">Zweck ist die Verbesserung der Arbeitssicherheit und die Erfüllung gesetzlicher Dokumentationspflichten – nicht die Überwachung der Leistung oder des Verhaltens von Beschäftigten.</w:t>
      </w:r>
    </w:p>
    <w:p>
      <w:pPr>
        <w:keepNext/>
        <w:spacing w:after="120" w:before="280"/>
      </w:pPr>
      <w:r>
        <w:rPr>
          <w:rFonts w:ascii="Arial" w:cs="Arial" w:eastAsia="Arial" w:hAnsi="Arial"/>
          <w:b/>
          <w:bCs/>
          <w:color w:val="14171A"/>
          <w:sz w:val="25"/>
          <w:szCs w:val="25"/>
        </w:rPr>
        <w:t xml:space="preserve">2. Welche Beschäftigtendaten werden verarbeitet?</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069"/>
        <w:gridCol w:w="4515"/>
        <w:gridCol w:w="2822"/>
      </w:tblGrid>
      <w:tr>
        <w:trPr>
          <w:tblHeader/>
        </w:trPr>
        <w:tc>
          <w:tcPr>
            <w:tcW w:type="pct" w:w="11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Betroffene</w:t>
            </w:r>
          </w:p>
        </w:tc>
        <w:tc>
          <w:tcPr>
            <w:tcW w:type="pct" w:w="24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Datenkategorien</w:t>
            </w:r>
          </w:p>
        </w:tc>
        <w:tc>
          <w:tcPr>
            <w:tcW w:type="pct" w:w="1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Wo in EHS Axis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Nutzer (Beschäftigte mit Benutzerkonto)</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dienstliche E-Mail-Adresse, Telefon, Sprache, Rolle, zugewiesene Zuständigkeiten und Fristen, von ihnen erstellte Einträge (Abweichungen, Maßnahmen, Audits, Risiken, Unfälle, Schulungsnachweise), Ereignisprotokoll (wer hat was wann geändert), Datum der letzten Anmeldung</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Alle Module; Einstellungen › Benutzer</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Beschäftigte ohne Benutzerkonto</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Personalnummer, Position, Abteilung, Standort, dienstliche E-Mail-Adresse (optional), Bemerkungen, Schulungsnachweise und Zertifikate (Datum, Gültigkeit, Schulender, Zertifikatsnummer, Dateien)</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Schulungen (Schulungsmatrix)</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Verletzte und an Unfällen beteiligte Personen</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Verknüpfung mit dem Beschäftigtendatensatz, Art der Verletzung, verletztes Körperteil, Schweregrad, Ausfalltage (Gesundheitsdaten, Art. 9 DSGVO); Beschreibung des Ereignisses, ggf. erfasste Zeugenaussagen; optionale personenbezogene Angaben für die nationale Unfallanzeige</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Unfälle</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Auf Fotos erkennbare Personen</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Als Nachweis hochgeladene Bilder (Abweichungen, Audits, Unfälle); Metadaten (EXIF, GPS) werden beim Hochladen entfernt</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Fotos und Anhänge</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3. Wer kann was einsehen?</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352"/>
        <w:gridCol w:w="7055"/>
      </w:tblGrid>
      <w:tr>
        <w:trPr>
          <w:tblHeader/>
        </w:trPr>
        <w:tc>
          <w:tcPr>
            <w:tcW w:type="pct" w:w="12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Rolle</w:t>
            </w:r>
          </w:p>
        </w:tc>
        <w:tc>
          <w:tcPr>
            <w:tcW w:type="pct" w:w="37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Zugriff</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Betrachter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Lesezugriff auf Abweichungen, Maßnahmen, Audits, Risiken, Arbeitsmittel und Schulungen</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Melder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Kann zusätzlich Abweichungen und Unfälle melden und Audits durchführen</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Verantwortlich</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Kann zusätzlich die ihm zugewiesenen Einträge bearbeiten und Daten importieren</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Freigeber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Kann zusätzlich Abweichungen freigeben und abschließen</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Administrator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Kann zusätzlich Benutzer, Stammdaten und Einstellungen verwalten; sieht Verletzungsangaben in Unfallakten</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Inhaber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Wie Administrator; zusätzlich Abonnement, Datenexport und unternehmensweite Sicherheitseinstellungen</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Gesundheitsdaten verletzter Personen (Art der Verletzung, Körperteil, Schweregrad, Ausfallzeit, personenbezogene Angaben) sind nur für Administratoren und den für den Unfall benannten Untersuchenden sichtbar – nicht für andere Nutzer, nicht in Exporten für Nicht-Administratoren und nicht in den aus einem Unfall erstellten Abweichungen.</w:t>
      </w:r>
    </w:p>
    <w:p>
      <w:pPr>
        <w:spacing w:after="140" w:line="300"/>
      </w:pPr>
      <w:r>
        <w:rPr>
          <w:rFonts w:ascii="Arial" w:cs="Arial" w:eastAsia="Arial" w:hAnsi="Arial"/>
          <w:color w:val="14171A"/>
          <w:sz w:val="21"/>
          <w:szCs w:val="21"/>
        </w:rPr>
        <w:t xml:space="preserve">Der Anbieter (Cyber in Systems Kft.) verarbeitet die Daten ausschließlich im Auftrag des Unternehmens auf Grundlage eines Auftragsverarbeitungsvertrags und greift nur darauf zu, soweit dies für Betrieb oder Support erforderlich ist.</w:t>
      </w:r>
    </w:p>
    <w:p>
      <w:pPr>
        <w:keepNext/>
        <w:spacing w:after="120" w:before="280"/>
      </w:pPr>
      <w:r>
        <w:rPr>
          <w:rFonts w:ascii="Arial" w:cs="Arial" w:eastAsia="Arial" w:hAnsi="Arial"/>
          <w:b/>
          <w:bCs/>
          <w:color w:val="14171A"/>
          <w:sz w:val="25"/>
          <w:szCs w:val="25"/>
        </w:rPr>
        <w:t xml:space="preserve">4. Daten, die zur Leistungs- oder Verhaltenskontrolle genutzt werden könnten</w:t>
      </w:r>
    </w:p>
    <w:p>
      <w:pPr>
        <w:spacing w:after="140" w:line="300"/>
      </w:pPr>
      <w:r>
        <w:rPr>
          <w:rFonts w:ascii="Arial" w:cs="Arial" w:eastAsia="Arial" w:hAnsi="Arial"/>
          <w:color w:val="14171A"/>
          <w:sz w:val="21"/>
          <w:szCs w:val="21"/>
        </w:rPr>
        <w:t xml:space="preserve">Wie die meisten betrieblichen Softwareanwendungen erfasst EHS Axis einige Daten, die objektiv geeignet sind, Rückschlüsse auf das Verhalten oder die Leistung von Beschäftigten zu ziehen. Wir führen sie transparent auf:</w:t>
      </w:r>
    </w:p>
    <w:p>
      <w:pPr>
        <w:pStyle w:val="ListParagraph"/>
        <w:numPr>
          <w:ilvl w:val="0"/>
          <w:numId w:val="2"/>
        </w:numPr>
        <w:spacing w:after="80" w:line="290"/>
      </w:pPr>
      <w:r>
        <w:rPr>
          <w:rFonts w:ascii="Arial" w:cs="Arial" w:eastAsia="Arial" w:hAnsi="Arial"/>
          <w:color w:val="14171A"/>
          <w:sz w:val="21"/>
          <w:szCs w:val="21"/>
        </w:rPr>
        <w:t xml:space="preserve">Ereignisprotokoll zu jeder Abweichung: wer sie wann erstellt, geändert, freigegeben oder abgeschlossen hat.</w:t>
      </w:r>
    </w:p>
    <w:p>
      <w:pPr>
        <w:pStyle w:val="ListParagraph"/>
        <w:numPr>
          <w:ilvl w:val="0"/>
          <w:numId w:val="2"/>
        </w:numPr>
        <w:spacing w:after="80" w:line="290"/>
      </w:pPr>
      <w:r>
        <w:rPr>
          <w:rFonts w:ascii="Arial" w:cs="Arial" w:eastAsia="Arial" w:hAnsi="Arial"/>
          <w:color w:val="14171A"/>
          <w:sz w:val="21"/>
          <w:szCs w:val="21"/>
        </w:rPr>
        <w:t xml:space="preserve">Zugewiesene Zuständigkeiten und Fristen, einschließlich überfälliger Einträge und E-Mail-Erinnerungen.</w:t>
      </w:r>
    </w:p>
    <w:p>
      <w:pPr>
        <w:pStyle w:val="ListParagraph"/>
        <w:numPr>
          <w:ilvl w:val="0"/>
          <w:numId w:val="2"/>
        </w:numPr>
        <w:spacing w:after="80" w:line="290"/>
      </w:pPr>
      <w:r>
        <w:rPr>
          <w:rFonts w:ascii="Arial" w:cs="Arial" w:eastAsia="Arial" w:hAnsi="Arial"/>
          <w:color w:val="14171A"/>
          <w:sz w:val="21"/>
          <w:szCs w:val="21"/>
        </w:rPr>
        <w:t xml:space="preserve">Berichte: Anzahl der Abweichungen je verantwortlicher Person (gesamt, offen, überfällig) und je Melder. Diese personenbezogenen Tabellen kann der Inhaber unternehmensweit abschalten (Einstellungen › Datenschutz › Personenbezogene Auswertungen).</w:t>
      </w:r>
    </w:p>
    <w:p>
      <w:pPr>
        <w:pStyle w:val="ListParagraph"/>
        <w:numPr>
          <w:ilvl w:val="0"/>
          <w:numId w:val="2"/>
        </w:numPr>
        <w:spacing w:after="80" w:line="290"/>
      </w:pPr>
      <w:r>
        <w:rPr>
          <w:rFonts w:ascii="Arial" w:cs="Arial" w:eastAsia="Arial" w:hAnsi="Arial"/>
          <w:color w:val="14171A"/>
          <w:sz w:val="21"/>
          <w:szCs w:val="21"/>
        </w:rPr>
        <w:t xml:space="preserve">Benutzerliste: Datum der letzten Anmeldung (für Administratoren, zur Zugriffsverwaltung).</w:t>
      </w:r>
    </w:p>
    <w:p>
      <w:pPr>
        <w:spacing w:after="140" w:line="300"/>
      </w:pPr>
      <w:r>
        <w:rPr>
          <w:rFonts w:ascii="Arial" w:cs="Arial" w:eastAsia="Arial" w:hAnsi="Arial"/>
          <w:color w:val="14171A"/>
          <w:sz w:val="21"/>
          <w:szCs w:val="21"/>
        </w:rPr>
        <w:t xml:space="preserve">EHS Axis erfasst weder Arbeitszeit noch Standort (Foto-Metadaten einschließlich GPS werden entfernt), Tastatureingaben, Bildschirmaktivität oder Surfverhalten und erstellt keine automatisierten Leistungsbewertungen oder Profile von Beschäftigten.</w:t>
      </w:r>
    </w:p>
    <w:p>
      <w:pPr>
        <w:keepNext/>
        <w:spacing w:after="120" w:before="280"/>
      </w:pPr>
      <w:r>
        <w:rPr>
          <w:rFonts w:ascii="Arial" w:cs="Arial" w:eastAsia="Arial" w:hAnsi="Arial"/>
          <w:b/>
          <w:bCs/>
          <w:color w:val="14171A"/>
          <w:sz w:val="25"/>
          <w:szCs w:val="25"/>
        </w:rPr>
        <w:t xml:space="preserve">5. Sicherheit, Speicherort und Aufbewahrung</w:t>
      </w:r>
    </w:p>
    <w:p>
      <w:pPr>
        <w:pStyle w:val="ListParagraph"/>
        <w:numPr>
          <w:ilvl w:val="0"/>
          <w:numId w:val="2"/>
        </w:numPr>
        <w:spacing w:after="80" w:line="290"/>
      </w:pPr>
      <w:r>
        <w:rPr>
          <w:rFonts w:ascii="Arial" w:cs="Arial" w:eastAsia="Arial" w:hAnsi="Arial"/>
          <w:color w:val="14171A"/>
          <w:sz w:val="21"/>
          <w:szCs w:val="21"/>
        </w:rPr>
        <w:t xml:space="preserve">Transportverschlüsselung (TLS 1.2/1.3, HSTS); Passwörter als gesalzene Einweg-Hashes (bcrypt); Geheimnisse der Zwei-Faktor-Authentifizierung verschlüsselt (AES-256-GCM).</w:t>
      </w:r>
    </w:p>
    <w:p>
      <w:pPr>
        <w:pStyle w:val="ListParagraph"/>
        <w:numPr>
          <w:ilvl w:val="0"/>
          <w:numId w:val="2"/>
        </w:numPr>
        <w:spacing w:after="80" w:line="290"/>
      </w:pPr>
      <w:r>
        <w:rPr>
          <w:rFonts w:ascii="Arial" w:cs="Arial" w:eastAsia="Arial" w:hAnsi="Arial"/>
          <w:color w:val="14171A"/>
          <w:sz w:val="21"/>
          <w:szCs w:val="21"/>
        </w:rPr>
        <w:t xml:space="preserve">Rollenbasierter Zugriff (Inhaber, Administrator, Freigeber, Verantwortlich, Melder, Betrachter); Gesundheitsdaten in Unfallakten nur für Administratoren und den benannten Untersuchenden sichtbar.</w:t>
      </w:r>
    </w:p>
    <w:p>
      <w:pPr>
        <w:pStyle w:val="ListParagraph"/>
        <w:numPr>
          <w:ilvl w:val="0"/>
          <w:numId w:val="2"/>
        </w:numPr>
        <w:spacing w:after="80" w:line="290"/>
      </w:pPr>
      <w:r>
        <w:rPr>
          <w:rFonts w:ascii="Arial" w:cs="Arial" w:eastAsia="Arial" w:hAnsi="Arial"/>
          <w:color w:val="14171A"/>
          <w:sz w:val="21"/>
          <w:szCs w:val="21"/>
        </w:rPr>
        <w:t xml:space="preserve">Zwei-Faktor-Authentifizierung, die der Kunde für Administratoren oder alle Nutzer verpflichtend machen kann; Begrenzung der Anmeldeversuche; bei einer Passwortänderung werden alle anderen Sitzungen beendet.</w:t>
      </w:r>
    </w:p>
    <w:p>
      <w:pPr>
        <w:pStyle w:val="ListParagraph"/>
        <w:numPr>
          <w:ilvl w:val="0"/>
          <w:numId w:val="2"/>
        </w:numPr>
        <w:spacing w:after="80" w:line="290"/>
      </w:pPr>
      <w:r>
        <w:rPr>
          <w:rFonts w:ascii="Arial" w:cs="Arial" w:eastAsia="Arial" w:hAnsi="Arial"/>
          <w:color w:val="14171A"/>
          <w:sz w:val="21"/>
          <w:szCs w:val="21"/>
        </w:rPr>
        <w:t xml:space="preserve">Logische Trennung der Kunden-Arbeitsbereiche in jeder Abfrage, vor jedem Release durch automatisierte Tests überprüft.</w:t>
      </w:r>
    </w:p>
    <w:p>
      <w:pPr>
        <w:pStyle w:val="ListParagraph"/>
        <w:numPr>
          <w:ilvl w:val="0"/>
          <w:numId w:val="2"/>
        </w:numPr>
        <w:spacing w:after="80" w:line="290"/>
      </w:pPr>
      <w:r>
        <w:rPr>
          <w:rFonts w:ascii="Arial" w:cs="Arial" w:eastAsia="Arial" w:hAnsi="Arial"/>
          <w:color w:val="14171A"/>
          <w:sz w:val="21"/>
          <w:szCs w:val="21"/>
        </w:rPr>
        <w:t xml:space="preserve">Prüfung des Dateityps anhand des Inhalts; Dateien nur für Mitglieder des Arbeitsbereichs herunterladbar; Foto-Metadaten (EXIF, GPS) werden entfernt.</w:t>
      </w:r>
    </w:p>
    <w:p>
      <w:pPr>
        <w:pStyle w:val="ListParagraph"/>
        <w:numPr>
          <w:ilvl w:val="0"/>
          <w:numId w:val="2"/>
        </w:numPr>
        <w:spacing w:after="80" w:line="290"/>
      </w:pPr>
      <w:r>
        <w:rPr>
          <w:rFonts w:ascii="Arial" w:cs="Arial" w:eastAsia="Arial" w:hAnsi="Arial"/>
          <w:color w:val="14171A"/>
          <w:sz w:val="21"/>
          <w:szCs w:val="21"/>
        </w:rPr>
        <w:t xml:space="preserve">Tägliche Sicherung von Datenbank und Dateien, 14 Tage aufbewahrt und täglich auf einen separaten Server kopiert; wöchentlicher automatisierter Wiederherstellungstest; Wiederherstellungsziele RPO 24 Stunden, RTO 1 Arbeitstag.</w:t>
      </w:r>
    </w:p>
    <w:p>
      <w:pPr>
        <w:pStyle w:val="ListParagraph"/>
        <w:numPr>
          <w:ilvl w:val="0"/>
          <w:numId w:val="2"/>
        </w:numPr>
        <w:spacing w:after="80" w:line="290"/>
      </w:pPr>
      <w:r>
        <w:rPr>
          <w:rFonts w:ascii="Arial" w:cs="Arial" w:eastAsia="Arial" w:hAnsi="Arial"/>
          <w:color w:val="14171A"/>
          <w:sz w:val="21"/>
          <w:szCs w:val="21"/>
        </w:rPr>
        <w:t xml:space="preserve">Verfügbarkeitsüberwachung alle 5 Minuten mit Alarmierung; Server- und Anwendungsprotokolle werden 30 Tage aufbewahrt.</w:t>
      </w:r>
    </w:p>
    <w:p>
      <w:pPr>
        <w:pStyle w:val="ListParagraph"/>
        <w:numPr>
          <w:ilvl w:val="0"/>
          <w:numId w:val="2"/>
        </w:numPr>
        <w:spacing w:after="80" w:line="290"/>
      </w:pPr>
      <w:r>
        <w:rPr>
          <w:rFonts w:ascii="Arial" w:cs="Arial" w:eastAsia="Arial" w:hAnsi="Arial"/>
          <w:color w:val="14171A"/>
          <w:sz w:val="21"/>
          <w:szCs w:val="21"/>
        </w:rPr>
        <w:t xml:space="preserve">Rechenzentrum in der EU (Tschechische Republik); Benachrichtigung des Kunden über Datenschutzverletzungen innerhalb von 48 Stunden.</w:t>
      </w:r>
    </w:p>
    <w:p>
      <w:pPr>
        <w:spacing w:after="140" w:line="300"/>
      </w:pPr>
      <w:r>
        <w:rPr>
          <w:rFonts w:ascii="Arial" w:cs="Arial" w:eastAsia="Arial" w:hAnsi="Arial"/>
          <w:color w:val="14171A"/>
          <w:sz w:val="21"/>
          <w:szCs w:val="21"/>
        </w:rPr>
        <w:t xml:space="preserve">Aufbewahrung: Einträge werden so lange gespeichert, wie das Unternehmen sie für seine Dokumentationspflichten benötigt, und können von berechtigten Nutzern gelöscht werden. Nach Vertragsende sind die Daten 90 Tage lang nur lesbar und werden anschließend gelöscht.</w:t>
      </w:r>
    </w:p>
    <w:p>
      <w:pPr>
        <w:keepNext/>
        <w:spacing w:after="120" w:before="280"/>
      </w:pPr>
      <w:r>
        <w:rPr>
          <w:rFonts w:ascii="Arial" w:cs="Arial" w:eastAsia="Arial" w:hAnsi="Arial"/>
          <w:b/>
          <w:bCs/>
          <w:color w:val="14171A"/>
          <w:sz w:val="25"/>
          <w:szCs w:val="25"/>
        </w:rPr>
        <w:t xml:space="preserve">6. Mitbestimmung – Hinweise nach Ländern</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Diese Hinweise sind ein allgemeiner Überblick und keine Rechtsberatung. Für die ordnungsgemäße Beteiligung der Arbeitnehmervertretung ist der Arbeitgeber verantwortlich.</w:t>
      </w:r>
    </w:p>
    <w:p>
      <w:pPr>
        <w:pStyle w:val="ListParagraph"/>
        <w:numPr>
          <w:ilvl w:val="0"/>
          <w:numId w:val="2"/>
        </w:numPr>
        <w:spacing w:after="80" w:line="290"/>
      </w:pPr>
      <w:r>
        <w:rPr>
          <w:rFonts w:ascii="Arial" w:cs="Arial" w:eastAsia="Arial" w:hAnsi="Arial"/>
          <w:color w:val="14171A"/>
          <w:sz w:val="21"/>
          <w:szCs w:val="21"/>
        </w:rPr>
        <w:t xml:space="preserve">Deutschland: EHS Axis ist technisch zur Überwachung im Sinne von § 87 Abs. 1 Nr. 6 BetrVG geeignet (Rechtsprechung des Bundesarbeitsgerichts), sodass dem Betriebsrat ein Mitbestimmungsrecht zusteht; zusätzlich gelten die Unterrichtungsrechte nach §§ 80 Abs. 2 und 90 BetrVG. Üblich ist der Abschluss einer Betriebsvereinbarung (Muster beigefügt). Maßnahmen des Arbeitsschutzes können zudem § 87 Abs. 1 Nr. 7 BetrVG unterliegen.</w:t>
      </w:r>
    </w:p>
    <w:p>
      <w:pPr>
        <w:pStyle w:val="ListParagraph"/>
        <w:numPr>
          <w:ilvl w:val="0"/>
          <w:numId w:val="2"/>
        </w:numPr>
        <w:spacing w:after="80" w:line="290"/>
      </w:pPr>
      <w:r>
        <w:rPr>
          <w:rFonts w:ascii="Arial" w:cs="Arial" w:eastAsia="Arial" w:hAnsi="Arial"/>
          <w:color w:val="14171A"/>
          <w:sz w:val="21"/>
          <w:szCs w:val="21"/>
        </w:rPr>
        <w:t xml:space="preserve">Österreich: Die Einführung von Systemen, die personenbezogene Daten von Arbeitnehmern verarbeiten, bedarf grundsätzlich der Zustimmung des Betriebsrats nach § 96a ArbVG (oder einer Entscheidung der Schlichtungsstelle); Kontrollmaßnahmen, die die Menschenwürde berühren, unterliegen § 96 Abs. 1 Z 3 ArbVG.</w:t>
      </w:r>
    </w:p>
    <w:p>
      <w:pPr>
        <w:pStyle w:val="ListParagraph"/>
        <w:numPr>
          <w:ilvl w:val="0"/>
          <w:numId w:val="2"/>
        </w:numPr>
        <w:spacing w:after="80" w:line="290"/>
      </w:pPr>
      <w:r>
        <w:rPr>
          <w:rFonts w:ascii="Arial" w:cs="Arial" w:eastAsia="Arial" w:hAnsi="Arial"/>
          <w:color w:val="14171A"/>
          <w:sz w:val="21"/>
          <w:szCs w:val="21"/>
        </w:rPr>
        <w:t xml:space="preserve">Schweiz: Ein vergleichbares Mitbestimmungsrecht besteht nicht, die Beschäftigten sind jedoch zu informieren und anzuhören (Art. 48 ArG, Art. 6 ArGV 3); Überwachungssysteme, die das Verhalten der Arbeitnehmer am Arbeitsplatz überwachen sollen, sind unzulässig (Art. 26 ArGV 3). Es gelten die Datenschutzgrundsätze des revidierten DSG.</w:t>
      </w:r>
    </w:p>
    <w:p>
      <w:pPr>
        <w:keepNext/>
        <w:spacing w:after="120" w:before="280"/>
      </w:pPr>
      <w:r>
        <w:rPr>
          <w:rFonts w:ascii="Arial" w:cs="Arial" w:eastAsia="Arial" w:hAnsi="Arial"/>
          <w:b/>
          <w:bCs/>
          <w:color w:val="14171A"/>
          <w:sz w:val="25"/>
          <w:szCs w:val="25"/>
        </w:rPr>
        <w:t xml:space="preserve">7. Ansprechpartner</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762"/>
        <w:gridCol w:w="5644"/>
      </w:tblGrid>
      <w:tr>
        <w:trPr>
          <w:tblHeader/>
        </w:trPr>
        <w:tc>
          <w:tcPr>
            <w:tcW w:type="pct" w:w="2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Funktion</w:t>
            </w:r>
          </w:p>
        </w:tc>
        <w:tc>
          <w:tcPr>
            <w:tcW w:type="pct" w:w="3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Name / Kontakt</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Projektleitung (Arbeitgeber)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Datenschutzbeauftragter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Fachkraft für Arbeitssicherheit</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Anbieter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rPr>
              <w:t xml:space="preserve">Cyber in Systems Kft., info@ehsaxis.com</w:t>
            </w:r>
          </w:p>
        </w:tc>
      </w:tr>
    </w:tbl>
    <w:p>
      <w:pPr>
        <w:spacing w:after="100" w:before="0" w:line="20" w:lineRule="exact"/>
      </w:pPr>
      <w:r>
        <w:rPr>
          <w:sz w:val="2"/>
          <w:szCs w:val="2"/>
        </w:rPr>
        <w:t xml:space="preserve"/>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Information für den Betriebsrat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für den Betriebsrat</dc:title>
  <dc:creator>EHS Axis</dc:creator>
  <dc:description>Einführung der Software EHS Axis</dc:description>
  <cp:lastModifiedBy>Un-named</cp:lastModifiedBy>
  <cp:revision>1</cp:revision>
  <dcterms:created xsi:type="dcterms:W3CDTF">2026-10-14T15:34:22.771Z</dcterms:created>
  <dcterms:modified xsi:type="dcterms:W3CDTF">2026-10-14T15:34:22.771Z</dcterms:modified>
</cp:coreProperties>
</file>

<file path=docProps/custom.xml><?xml version="1.0" encoding="utf-8"?>
<Properties xmlns="http://schemas.openxmlformats.org/officeDocument/2006/custom-properties" xmlns:vt="http://schemas.openxmlformats.org/officeDocument/2006/docPropsVTypes"/>
</file>