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14171A"/>
          <w:sz w:val="36"/>
          <w:szCs w:val="36"/>
        </w:rPr>
        <w:t xml:space="preserve">Works agreement on the use of EHS Axis</w:t>
      </w:r>
    </w:p>
    <w:p>
      <w:pPr>
        <w:pBdr>
          <w:bottom w:val="single" w:color="14171A" w:sz="12" w:space="6"/>
        </w:pBdr>
        <w:spacing w:after="260"/>
      </w:pPr>
      <w:r>
        <w:rPr>
          <w:rFonts w:ascii="Arial" w:cs="Arial" w:eastAsia="Arial" w:hAnsi="Arial"/>
          <w:color w:val="56636A"/>
          <w:sz w:val="24"/>
          <w:szCs w:val="24"/>
        </w:rPr>
        <w:t xml:space="preserve">Template</w:t>
      </w:r>
    </w:p>
    <w:p>
      <w:pPr>
        <w:pBdr>
          <w:left w:val="single" w:color="C9F73D" w:sz="18" w:space="8"/>
        </w:pBdr>
        <w:shd w:fill="F1F3F2" w:color="auto" w:val="clear"/>
        <w:spacing w:after="160" w:line="280"/>
      </w:pPr>
      <w:r>
        <w:rPr>
          <w:rFonts w:ascii="Arial" w:cs="Arial" w:eastAsia="Arial" w:hAnsi="Arial"/>
          <w:i/>
          <w:iCs/>
          <w:color w:val="56636A"/>
          <w:sz w:val="19"/>
          <w:szCs w:val="19"/>
        </w:rPr>
        <w:t xml:space="preserve">Template provided by Cyber in Systems Kft. for customers of EHS Axis (version 2026-10). It is not legal advice. Fields in square brackets </w:t>
      </w:r>
      <w:r>
        <w:rPr>
          <w:rFonts w:ascii="Arial" w:cs="Arial" w:eastAsia="Arial" w:hAnsi="Arial"/>
          <w:i/>
          <w:iCs/>
          <w:color w:val="56636A"/>
          <w:sz w:val="19"/>
          <w:szCs w:val="19"/>
          <w:highlight w:val="yellow"/>
        </w:rPr>
        <w:t xml:space="preserve">[ … ]</w:t>
      </w:r>
      <w:r>
        <w:rPr>
          <w:rFonts w:ascii="Arial" w:cs="Arial" w:eastAsia="Arial" w:hAnsi="Arial"/>
          <w:i/>
          <w:iCs/>
          <w:color w:val="56636A"/>
          <w:sz w:val="19"/>
          <w:szCs w:val="19"/>
        </w:rPr>
        <w:t xml:space="preserve"> must be completed or checked by the customer; have the final version reviewed by your data protection officer and, where applicable, legal counsel.</w:t>
      </w:r>
    </w:p>
    <w:p>
      <w:pPr>
        <w:spacing w:after="140" w:line="300"/>
      </w:pPr>
      <w:r>
        <w:rPr>
          <w:rFonts w:ascii="Arial" w:cs="Arial" w:eastAsia="Arial" w:hAnsi="Arial"/>
          <w:color w:val="14171A"/>
          <w:sz w:val="21"/>
          <w:szCs w:val="21"/>
        </w:rPr>
        <w:t xml:space="preserve">Between </w:t>
      </w:r>
      <w:r>
        <w:rPr>
          <w:rFonts w:ascii="Arial" w:cs="Arial" w:eastAsia="Arial" w:hAnsi="Arial"/>
          <w:color w:val="14171A"/>
          <w:sz w:val="21"/>
          <w:szCs w:val="21"/>
          <w:highlight w:val="yellow"/>
        </w:rPr>
        <w:t xml:space="preserve">[company name, address]</w:t>
      </w:r>
      <w:r>
        <w:rPr>
          <w:rFonts w:ascii="Arial" w:cs="Arial" w:eastAsia="Arial" w:hAnsi="Arial"/>
          <w:color w:val="14171A"/>
          <w:sz w:val="21"/>
          <w:szCs w:val="21"/>
        </w:rPr>
        <w:t xml:space="preserve"> (“Employer”) and the works council of </w:t>
      </w:r>
      <w:r>
        <w:rPr>
          <w:rFonts w:ascii="Arial" w:cs="Arial" w:eastAsia="Arial" w:hAnsi="Arial"/>
          <w:color w:val="14171A"/>
          <w:sz w:val="21"/>
          <w:szCs w:val="21"/>
          <w:highlight w:val="yellow"/>
        </w:rPr>
        <w:t xml:space="preserve">[company / establishment]</w:t>
      </w:r>
      <w:r>
        <w:rPr>
          <w:rFonts w:ascii="Arial" w:cs="Arial" w:eastAsia="Arial" w:hAnsi="Arial"/>
          <w:color w:val="14171A"/>
          <w:sz w:val="21"/>
          <w:szCs w:val="21"/>
        </w:rPr>
        <w:t xml:space="preserve"> (“Works Council”) the following works agreement is concluded.</w:t>
      </w:r>
    </w:p>
    <w:p>
      <w:pPr>
        <w:keepNext/>
        <w:spacing w:after="120" w:before="280"/>
      </w:pPr>
      <w:r>
        <w:rPr>
          <w:rFonts w:ascii="Arial" w:cs="Arial" w:eastAsia="Arial" w:hAnsi="Arial"/>
          <w:b/>
          <w:bCs/>
          <w:color w:val="14171A"/>
          <w:sz w:val="25"/>
          <w:szCs w:val="25"/>
        </w:rPr>
        <w:t xml:space="preserve">§ 1 Scope</w:t>
      </w:r>
    </w:p>
    <w:p>
      <w:pPr>
        <w:spacing w:after="140" w:line="300"/>
      </w:pPr>
      <w:r>
        <w:rPr>
          <w:rFonts w:ascii="Arial" w:cs="Arial" w:eastAsia="Arial" w:hAnsi="Arial"/>
          <w:color w:val="14171A"/>
          <w:sz w:val="21"/>
          <w:szCs w:val="21"/>
        </w:rPr>
        <w:t xml:space="preserve">This agreement applies to all employees of </w:t>
      </w:r>
      <w:r>
        <w:rPr>
          <w:rFonts w:ascii="Arial" w:cs="Arial" w:eastAsia="Arial" w:hAnsi="Arial"/>
          <w:color w:val="14171A"/>
          <w:sz w:val="21"/>
          <w:szCs w:val="21"/>
          <w:highlight w:val="yellow"/>
        </w:rPr>
        <w:t xml:space="preserve">[establishment / sites]</w:t>
      </w:r>
      <w:r>
        <w:rPr>
          <w:rFonts w:ascii="Arial" w:cs="Arial" w:eastAsia="Arial" w:hAnsi="Arial"/>
          <w:color w:val="14171A"/>
          <w:sz w:val="21"/>
          <w:szCs w:val="21"/>
        </w:rPr>
        <w:t xml:space="preserve"> within the meaning of </w:t>
      </w:r>
      <w:r>
        <w:rPr>
          <w:rFonts w:ascii="Arial" w:cs="Arial" w:eastAsia="Arial" w:hAnsi="Arial"/>
          <w:color w:val="14171A"/>
          <w:sz w:val="21"/>
          <w:szCs w:val="21"/>
          <w:highlight w:val="yellow"/>
        </w:rPr>
        <w:t xml:space="preserve">[§ 5 BetrVG / § 36 ArbVG]</w:t>
      </w:r>
      <w:r>
        <w:rPr>
          <w:rFonts w:ascii="Arial" w:cs="Arial" w:eastAsia="Arial" w:hAnsi="Arial"/>
          <w:color w:val="14171A"/>
          <w:sz w:val="21"/>
          <w:szCs w:val="21"/>
        </w:rPr>
        <w:t xml:space="preserve">, with the exception of executive staff.</w:t>
      </w:r>
    </w:p>
    <w:p>
      <w:pPr>
        <w:keepNext/>
        <w:spacing w:after="120" w:before="280"/>
      </w:pPr>
      <w:r>
        <w:rPr>
          <w:rFonts w:ascii="Arial" w:cs="Arial" w:eastAsia="Arial" w:hAnsi="Arial"/>
          <w:b/>
          <w:bCs/>
          <w:color w:val="14171A"/>
          <w:sz w:val="25"/>
          <w:szCs w:val="25"/>
        </w:rPr>
        <w:t xml:space="preserve">§ 2 Subject matter and purpose</w:t>
      </w:r>
    </w:p>
    <w:p>
      <w:pPr>
        <w:spacing w:after="140" w:line="300"/>
      </w:pPr>
      <w:r>
        <w:rPr>
          <w:rFonts w:ascii="Arial" w:cs="Arial" w:eastAsia="Arial" w:hAnsi="Arial"/>
          <w:color w:val="14171A"/>
          <w:sz w:val="21"/>
          <w:szCs w:val="21"/>
        </w:rPr>
        <w:t xml:space="preserve">(1) The subject of this agreement is the introduction and use of the EHS Axis software for occupational health, safety and environmental management. The modules in use are listed in Annex 1.</w:t>
      </w:r>
    </w:p>
    <w:p>
      <w:pPr>
        <w:spacing w:after="140" w:line="300"/>
      </w:pPr>
      <w:r>
        <w:rPr>
          <w:rFonts w:ascii="Arial" w:cs="Arial" w:eastAsia="Arial" w:hAnsi="Arial"/>
          <w:color w:val="14171A"/>
          <w:sz w:val="21"/>
          <w:szCs w:val="21"/>
        </w:rPr>
        <w:t xml:space="preserve">(2) The system serves exclusively to improve occupational safety, health and environmental protection and to fulfil legal documentation obligations.</w:t>
      </w:r>
    </w:p>
    <w:p>
      <w:pPr>
        <w:keepNext/>
        <w:spacing w:after="120" w:before="280"/>
      </w:pPr>
      <w:r>
        <w:rPr>
          <w:rFonts w:ascii="Arial" w:cs="Arial" w:eastAsia="Arial" w:hAnsi="Arial"/>
          <w:b/>
          <w:bCs/>
          <w:color w:val="14171A"/>
          <w:sz w:val="25"/>
          <w:szCs w:val="25"/>
        </w:rPr>
        <w:t xml:space="preserve">§ 3 Exclusion of performance and behaviour monitoring</w:t>
      </w:r>
    </w:p>
    <w:p>
      <w:pPr>
        <w:spacing w:after="140" w:line="300"/>
      </w:pPr>
      <w:r>
        <w:rPr>
          <w:rFonts w:ascii="Arial" w:cs="Arial" w:eastAsia="Arial" w:hAnsi="Arial"/>
          <w:color w:val="14171A"/>
          <w:sz w:val="21"/>
          <w:szCs w:val="21"/>
        </w:rPr>
        <w:t xml:space="preserve">(1) The data processed in EHS Axis must not be used to monitor or assess the performance or behaviour of individual employees. In particular, event logs, deadlines, overdue lists and last sign-in dates must not be evaluated with reference to individuals for this purpose.</w:t>
      </w:r>
    </w:p>
    <w:p>
      <w:pPr>
        <w:spacing w:after="140" w:line="300"/>
      </w:pPr>
      <w:r>
        <w:rPr>
          <w:rFonts w:ascii="Arial" w:cs="Arial" w:eastAsia="Arial" w:hAnsi="Arial"/>
          <w:color w:val="14171A"/>
          <w:sz w:val="21"/>
          <w:szCs w:val="21"/>
        </w:rPr>
        <w:t xml:space="preserve">(2) The per-person reports are </w:t>
      </w:r>
      <w:r>
        <w:rPr>
          <w:rFonts w:ascii="Arial" w:cs="Arial" w:eastAsia="Arial" w:hAnsi="Arial"/>
          <w:color w:val="14171A"/>
          <w:sz w:val="21"/>
          <w:szCs w:val="21"/>
          <w:highlight w:val="yellow"/>
        </w:rPr>
        <w:t xml:space="preserve">[switched off / used only for the following purpose: …]</w:t>
      </w:r>
      <w:r>
        <w:rPr>
          <w:rFonts w:ascii="Arial" w:cs="Arial" w:eastAsia="Arial" w:hAnsi="Arial"/>
          <w:color w:val="14171A"/>
          <w:sz w:val="21"/>
          <w:szCs w:val="21"/>
        </w:rPr>
        <w:t xml:space="preserve">.</w:t>
      </w:r>
    </w:p>
    <w:p>
      <w:pPr>
        <w:spacing w:after="140" w:line="300"/>
      </w:pPr>
      <w:r>
        <w:rPr>
          <w:rFonts w:ascii="Arial" w:cs="Arial" w:eastAsia="Arial" w:hAnsi="Arial"/>
          <w:color w:val="14171A"/>
          <w:sz w:val="21"/>
          <w:szCs w:val="21"/>
        </w:rPr>
        <w:t xml:space="preserve">(3) Information obtained in breach of paragraph 1 must not be used as the basis for personnel measures (in particular warnings, dismissals or appraisals).</w:t>
      </w:r>
    </w:p>
    <w:p>
      <w:pPr>
        <w:spacing w:after="140" w:line="300"/>
      </w:pPr>
      <w:r>
        <w:rPr>
          <w:rFonts w:ascii="Arial" w:cs="Arial" w:eastAsia="Arial" w:hAnsi="Arial"/>
          <w:color w:val="14171A"/>
          <w:sz w:val="21"/>
          <w:szCs w:val="21"/>
        </w:rPr>
        <w:t xml:space="preserve">(4) Investigations of accidents serve to determine causes and prevent recurrence, not to determine individual blame.</w:t>
      </w:r>
    </w:p>
    <w:p>
      <w:pPr>
        <w:keepNext/>
        <w:spacing w:after="120" w:before="280"/>
      </w:pPr>
      <w:r>
        <w:rPr>
          <w:rFonts w:ascii="Arial" w:cs="Arial" w:eastAsia="Arial" w:hAnsi="Arial"/>
          <w:b/>
          <w:bCs/>
          <w:color w:val="14171A"/>
          <w:sz w:val="25"/>
          <w:szCs w:val="25"/>
        </w:rPr>
        <w:t xml:space="preserve">§ 4 Processed data</w:t>
      </w:r>
    </w:p>
    <w:p>
      <w:pPr>
        <w:spacing w:after="140" w:line="300"/>
      </w:pPr>
      <w:r>
        <w:rPr>
          <w:rFonts w:ascii="Arial" w:cs="Arial" w:eastAsia="Arial" w:hAnsi="Arial"/>
          <w:color w:val="14171A"/>
          <w:sz w:val="21"/>
          <w:szCs w:val="21"/>
        </w:rPr>
        <w:t xml:space="preserve">Only the data listed in Annex 2 is processed. Extensions (new modules, new data fields, interfaces to other systems) require the prior consent of the Works Council.</w:t>
      </w:r>
    </w:p>
    <w:p>
      <w:pPr>
        <w:keepNext/>
        <w:spacing w:after="120" w:before="280"/>
      </w:pPr>
      <w:r>
        <w:rPr>
          <w:rFonts w:ascii="Arial" w:cs="Arial" w:eastAsia="Arial" w:hAnsi="Arial"/>
          <w:b/>
          <w:bCs/>
          <w:color w:val="14171A"/>
          <w:sz w:val="25"/>
          <w:szCs w:val="25"/>
        </w:rPr>
        <w:t xml:space="preserve">§ 5 Access rights</w:t>
      </w:r>
    </w:p>
    <w:p>
      <w:pPr>
        <w:spacing w:after="140" w:line="300"/>
      </w:pPr>
      <w:r>
        <w:rPr>
          <w:rFonts w:ascii="Arial" w:cs="Arial" w:eastAsia="Arial" w:hAnsi="Arial"/>
          <w:color w:val="14171A"/>
          <w:sz w:val="21"/>
          <w:szCs w:val="21"/>
        </w:rPr>
        <w:t xml:space="preserve">(1) Access is granted according to the role concept in Annex 3. Roles are assigned by </w:t>
      </w:r>
      <w:r>
        <w:rPr>
          <w:rFonts w:ascii="Arial" w:cs="Arial" w:eastAsia="Arial" w:hAnsi="Arial"/>
          <w:color w:val="14171A"/>
          <w:sz w:val="21"/>
          <w:szCs w:val="21"/>
          <w:highlight w:val="yellow"/>
        </w:rPr>
        <w:t xml:space="preserve">[function]</w:t>
      </w:r>
      <w:r>
        <w:rPr>
          <w:rFonts w:ascii="Arial" w:cs="Arial" w:eastAsia="Arial" w:hAnsi="Arial"/>
          <w:color w:val="14171A"/>
          <w:sz w:val="21"/>
          <w:szCs w:val="21"/>
        </w:rPr>
        <w:t xml:space="preserve">; the Works Council receives an updated list of administrators on request.</w:t>
      </w:r>
    </w:p>
    <w:p>
      <w:pPr>
        <w:spacing w:after="140" w:line="300"/>
      </w:pPr>
      <w:r>
        <w:rPr>
          <w:rFonts w:ascii="Arial" w:cs="Arial" w:eastAsia="Arial" w:hAnsi="Arial"/>
          <w:color w:val="14171A"/>
          <w:sz w:val="21"/>
          <w:szCs w:val="21"/>
        </w:rPr>
        <w:t xml:space="preserve">(2) Health data in incident records is accessible only to administrators and the designated investigator.</w:t>
      </w:r>
    </w:p>
    <w:p>
      <w:pPr>
        <w:spacing w:after="140" w:line="300"/>
      </w:pPr>
      <w:r>
        <w:rPr>
          <w:rFonts w:ascii="Arial" w:cs="Arial" w:eastAsia="Arial" w:hAnsi="Arial"/>
          <w:color w:val="14171A"/>
          <w:sz w:val="21"/>
          <w:szCs w:val="21"/>
        </w:rPr>
        <w:t xml:space="preserve">(3) Two-factor authentication is </w:t>
      </w:r>
      <w:r>
        <w:rPr>
          <w:rFonts w:ascii="Arial" w:cs="Arial" w:eastAsia="Arial" w:hAnsi="Arial"/>
          <w:color w:val="14171A"/>
          <w:sz w:val="21"/>
          <w:szCs w:val="21"/>
          <w:highlight w:val="yellow"/>
        </w:rPr>
        <w:t xml:space="preserve">[mandatory for administrators / mandatory for all users / recommended]</w:t>
      </w:r>
      <w:r>
        <w:rPr>
          <w:rFonts w:ascii="Arial" w:cs="Arial" w:eastAsia="Arial" w:hAnsi="Arial"/>
          <w:color w:val="14171A"/>
          <w:sz w:val="21"/>
          <w:szCs w:val="21"/>
        </w:rPr>
        <w:t xml:space="preserve">.</w:t>
      </w:r>
    </w:p>
    <w:p>
      <w:pPr>
        <w:keepNext/>
        <w:spacing w:after="120" w:before="280"/>
      </w:pPr>
      <w:r>
        <w:rPr>
          <w:rFonts w:ascii="Arial" w:cs="Arial" w:eastAsia="Arial" w:hAnsi="Arial"/>
          <w:b/>
          <w:bCs/>
          <w:color w:val="14171A"/>
          <w:sz w:val="25"/>
          <w:szCs w:val="25"/>
        </w:rPr>
        <w:t xml:space="preserve">§ 6 Exports and transfer</w:t>
      </w:r>
    </w:p>
    <w:p>
      <w:pPr>
        <w:spacing w:after="140" w:line="300"/>
      </w:pPr>
      <w:r>
        <w:rPr>
          <w:rFonts w:ascii="Arial" w:cs="Arial" w:eastAsia="Arial" w:hAnsi="Arial"/>
          <w:color w:val="14171A"/>
          <w:sz w:val="21"/>
          <w:szCs w:val="21"/>
        </w:rPr>
        <w:t xml:space="preserve">Data may be exported (Excel, PDF) only for the purposes in § 2. Exports containing personal data are stored only in </w:t>
      </w:r>
      <w:r>
        <w:rPr>
          <w:rFonts w:ascii="Arial" w:cs="Arial" w:eastAsia="Arial" w:hAnsi="Arial"/>
          <w:color w:val="14171A"/>
          <w:sz w:val="21"/>
          <w:szCs w:val="21"/>
          <w:highlight w:val="yellow"/>
        </w:rPr>
        <w:t xml:space="preserve">[storage location]</w:t>
      </w:r>
      <w:r>
        <w:rPr>
          <w:rFonts w:ascii="Arial" w:cs="Arial" w:eastAsia="Arial" w:hAnsi="Arial"/>
          <w:color w:val="14171A"/>
          <w:sz w:val="21"/>
          <w:szCs w:val="21"/>
        </w:rPr>
        <w:t xml:space="preserve"> and deleted when no longer required. Transfer to third parties takes place only where legally required (e.g. accident insurance institution, authorities) or with the consent of the Works Council.</w:t>
      </w:r>
    </w:p>
    <w:p>
      <w:pPr>
        <w:keepNext/>
        <w:spacing w:after="120" w:before="280"/>
      </w:pPr>
      <w:r>
        <w:rPr>
          <w:rFonts w:ascii="Arial" w:cs="Arial" w:eastAsia="Arial" w:hAnsi="Arial"/>
          <w:b/>
          <w:bCs/>
          <w:color w:val="14171A"/>
          <w:sz w:val="25"/>
          <w:szCs w:val="25"/>
        </w:rPr>
        <w:t xml:space="preserve">§ 7 Retention and deletion</w:t>
      </w:r>
    </w:p>
    <w:p>
      <w:pPr>
        <w:spacing w:after="140" w:line="300"/>
      </w:pPr>
      <w:r>
        <w:rPr>
          <w:rFonts w:ascii="Arial" w:cs="Arial" w:eastAsia="Arial" w:hAnsi="Arial"/>
          <w:color w:val="14171A"/>
          <w:sz w:val="21"/>
          <w:szCs w:val="21"/>
        </w:rPr>
        <w:t xml:space="preserve">Data is deleted when it is no longer needed for the purposes in § 2 and legal retention periods have expired: </w:t>
      </w:r>
      <w:r>
        <w:rPr>
          <w:rFonts w:ascii="Arial" w:cs="Arial" w:eastAsia="Arial" w:hAnsi="Arial"/>
          <w:color w:val="14171A"/>
          <w:sz w:val="21"/>
          <w:szCs w:val="21"/>
          <w:highlight w:val="yellow"/>
        </w:rPr>
        <w:t xml:space="preserve">[e.g. accident documentation … years, training records … years after leaving, non-conformities … years after closure]</w:t>
      </w:r>
      <w:r>
        <w:rPr>
          <w:rFonts w:ascii="Arial" w:cs="Arial" w:eastAsia="Arial" w:hAnsi="Arial"/>
          <w:color w:val="14171A"/>
          <w:sz w:val="21"/>
          <w:szCs w:val="21"/>
        </w:rPr>
        <w:t xml:space="preserve">. Responsible for deletion: </w:t>
      </w:r>
      <w:r>
        <w:rPr>
          <w:rFonts w:ascii="Arial" w:cs="Arial" w:eastAsia="Arial" w:hAnsi="Arial"/>
          <w:color w:val="14171A"/>
          <w:sz w:val="21"/>
          <w:szCs w:val="21"/>
          <w:highlight w:val="yellow"/>
        </w:rPr>
        <w:t xml:space="preserve">[function]</w:t>
      </w:r>
      <w:r>
        <w:rPr>
          <w:rFonts w:ascii="Arial" w:cs="Arial" w:eastAsia="Arial" w:hAnsi="Arial"/>
          <w:color w:val="14171A"/>
          <w:sz w:val="21"/>
          <w:szCs w:val="21"/>
        </w:rPr>
        <w:t xml:space="preserve">.</w:t>
      </w:r>
    </w:p>
    <w:p>
      <w:pPr>
        <w:keepNext/>
        <w:spacing w:after="120" w:before="280"/>
      </w:pPr>
      <w:r>
        <w:rPr>
          <w:rFonts w:ascii="Arial" w:cs="Arial" w:eastAsia="Arial" w:hAnsi="Arial"/>
          <w:b/>
          <w:bCs/>
          <w:color w:val="14171A"/>
          <w:sz w:val="25"/>
          <w:szCs w:val="25"/>
        </w:rPr>
        <w:t xml:space="preserve">§ 8 Rights of the Works Council</w:t>
      </w:r>
    </w:p>
    <w:p>
      <w:pPr>
        <w:spacing w:after="140" w:line="300"/>
      </w:pPr>
      <w:r>
        <w:rPr>
          <w:rFonts w:ascii="Arial" w:cs="Arial" w:eastAsia="Arial" w:hAnsi="Arial"/>
          <w:color w:val="14171A"/>
          <w:sz w:val="21"/>
          <w:szCs w:val="21"/>
        </w:rPr>
        <w:t xml:space="preserve">(1) The Works Council may check compliance with this agreement at any time; it may involve an expert at the Employer's expense under </w:t>
      </w:r>
      <w:r>
        <w:rPr>
          <w:rFonts w:ascii="Arial" w:cs="Arial" w:eastAsia="Arial" w:hAnsi="Arial"/>
          <w:color w:val="14171A"/>
          <w:sz w:val="21"/>
          <w:szCs w:val="21"/>
          <w:highlight w:val="yellow"/>
        </w:rPr>
        <w:t xml:space="preserve">[§ 80(3) BetrVG]</w:t>
      </w:r>
      <w:r>
        <w:rPr>
          <w:rFonts w:ascii="Arial" w:cs="Arial" w:eastAsia="Arial" w:hAnsi="Arial"/>
          <w:color w:val="14171A"/>
          <w:sz w:val="21"/>
          <w:szCs w:val="21"/>
        </w:rPr>
        <w:t xml:space="preserve">.</w:t>
      </w:r>
    </w:p>
    <w:p>
      <w:pPr>
        <w:spacing w:after="140" w:line="300"/>
      </w:pPr>
      <w:r>
        <w:rPr>
          <w:rFonts w:ascii="Arial" w:cs="Arial" w:eastAsia="Arial" w:hAnsi="Arial"/>
          <w:color w:val="14171A"/>
          <w:sz w:val="21"/>
          <w:szCs w:val="21"/>
        </w:rPr>
        <w:t xml:space="preserve">(2) The Works Council is informed in advance of updates that change the processing of personal data. The provider's public security page and data processing agreement are made available.</w:t>
      </w:r>
    </w:p>
    <w:p>
      <w:pPr>
        <w:keepNext/>
        <w:spacing w:after="120" w:before="280"/>
      </w:pPr>
      <w:r>
        <w:rPr>
          <w:rFonts w:ascii="Arial" w:cs="Arial" w:eastAsia="Arial" w:hAnsi="Arial"/>
          <w:b/>
          <w:bCs/>
          <w:color w:val="14171A"/>
          <w:sz w:val="25"/>
          <w:szCs w:val="25"/>
        </w:rPr>
        <w:t xml:space="preserve">§ 9 Training and information of employees</w:t>
      </w:r>
    </w:p>
    <w:p>
      <w:pPr>
        <w:spacing w:after="140" w:line="300"/>
      </w:pPr>
      <w:r>
        <w:rPr>
          <w:rFonts w:ascii="Arial" w:cs="Arial" w:eastAsia="Arial" w:hAnsi="Arial"/>
          <w:color w:val="14171A"/>
          <w:sz w:val="21"/>
          <w:szCs w:val="21"/>
        </w:rPr>
        <w:t xml:space="preserve">Users are trained before first use. All employees are informed about the purpose of the system and the data processed via </w:t>
      </w:r>
      <w:r>
        <w:rPr>
          <w:rFonts w:ascii="Arial" w:cs="Arial" w:eastAsia="Arial" w:hAnsi="Arial"/>
          <w:color w:val="14171A"/>
          <w:sz w:val="21"/>
          <w:szCs w:val="21"/>
          <w:highlight w:val="yellow"/>
        </w:rPr>
        <w:t xml:space="preserve">[privacy notice / intranet]</w:t>
      </w:r>
      <w:r>
        <w:rPr>
          <w:rFonts w:ascii="Arial" w:cs="Arial" w:eastAsia="Arial" w:hAnsi="Arial"/>
          <w:color w:val="14171A"/>
          <w:sz w:val="21"/>
          <w:szCs w:val="21"/>
        </w:rPr>
        <w:t xml:space="preserve">.</w:t>
      </w:r>
    </w:p>
    <w:p>
      <w:pPr>
        <w:keepNext/>
        <w:spacing w:after="120" w:before="280"/>
      </w:pPr>
      <w:r>
        <w:rPr>
          <w:rFonts w:ascii="Arial" w:cs="Arial" w:eastAsia="Arial" w:hAnsi="Arial"/>
          <w:b/>
          <w:bCs/>
          <w:color w:val="14171A"/>
          <w:sz w:val="25"/>
          <w:szCs w:val="25"/>
        </w:rPr>
        <w:t xml:space="preserve">§ 10 Final provisions</w:t>
      </w:r>
    </w:p>
    <w:p>
      <w:pPr>
        <w:spacing w:after="140" w:line="300"/>
      </w:pPr>
      <w:r>
        <w:rPr>
          <w:rFonts w:ascii="Arial" w:cs="Arial" w:eastAsia="Arial" w:hAnsi="Arial"/>
          <w:color w:val="14171A"/>
          <w:sz w:val="21"/>
          <w:szCs w:val="21"/>
        </w:rPr>
        <w:t xml:space="preserve">(1) This agreement enters into force on </w:t>
      </w:r>
      <w:r>
        <w:rPr>
          <w:rFonts w:ascii="Arial" w:cs="Arial" w:eastAsia="Arial" w:hAnsi="Arial"/>
          <w:color w:val="14171A"/>
          <w:sz w:val="21"/>
          <w:szCs w:val="21"/>
          <w:highlight w:val="yellow"/>
        </w:rPr>
        <w:t xml:space="preserve">[date]</w:t>
      </w:r>
      <w:r>
        <w:rPr>
          <w:rFonts w:ascii="Arial" w:cs="Arial" w:eastAsia="Arial" w:hAnsi="Arial"/>
          <w:color w:val="14171A"/>
          <w:sz w:val="21"/>
          <w:szCs w:val="21"/>
        </w:rPr>
        <w:t xml:space="preserve">. It may be terminated with </w:t>
      </w:r>
      <w:r>
        <w:rPr>
          <w:rFonts w:ascii="Arial" w:cs="Arial" w:eastAsia="Arial" w:hAnsi="Arial"/>
          <w:color w:val="14171A"/>
          <w:sz w:val="21"/>
          <w:szCs w:val="21"/>
          <w:highlight w:val="yellow"/>
        </w:rPr>
        <w:t xml:space="preserve">[three]</w:t>
      </w:r>
      <w:r>
        <w:rPr>
          <w:rFonts w:ascii="Arial" w:cs="Arial" w:eastAsia="Arial" w:hAnsi="Arial"/>
          <w:color w:val="14171A"/>
          <w:sz w:val="21"/>
          <w:szCs w:val="21"/>
        </w:rPr>
        <w:t xml:space="preserve"> months' notice to the end of a month; it continues to apply until replaced by a new agreement.</w:t>
      </w:r>
    </w:p>
    <w:p>
      <w:pPr>
        <w:spacing w:after="140" w:line="300"/>
      </w:pPr>
      <w:r>
        <w:rPr>
          <w:rFonts w:ascii="Arial" w:cs="Arial" w:eastAsia="Arial" w:hAnsi="Arial"/>
          <w:color w:val="14171A"/>
          <w:sz w:val="21"/>
          <w:szCs w:val="21"/>
        </w:rPr>
        <w:t xml:space="preserve">(2) Should a provision be invalid, the remaining provisions shall remain unaffected; the parties will replace the invalid provision with a valid one that comes closest to its purpose.</w:t>
      </w:r>
    </w:p>
    <w:p>
      <w:pPr>
        <w:spacing w:after="140" w:line="300"/>
      </w:pPr>
      <w:r>
        <w:rPr>
          <w:rFonts w:ascii="Arial" w:cs="Arial" w:eastAsia="Arial" w:hAnsi="Arial"/>
          <w:color w:val="14171A"/>
          <w:sz w:val="21"/>
          <w:szCs w:val="21"/>
          <w:highlight w:val="yellow"/>
        </w:rPr>
        <w:t xml:space="preserve">[Place, date]</w:t>
      </w:r>
      <w:r>
        <w:rPr>
          <w:rFonts w:ascii="Arial" w:cs="Arial" w:eastAsia="Arial" w:hAnsi="Arial"/>
          <w:color w:val="14171A"/>
          <w:sz w:val="21"/>
          <w:szCs w:val="21"/>
        </w:rPr>
        <w:t xml:space="preserve"> — for the Employer: </w:t>
      </w:r>
      <w:r>
        <w:rPr>
          <w:rFonts w:ascii="Arial" w:cs="Arial" w:eastAsia="Arial" w:hAnsi="Arial"/>
          <w:color w:val="14171A"/>
          <w:sz w:val="21"/>
          <w:szCs w:val="21"/>
          <w:highlight w:val="yellow"/>
        </w:rPr>
        <w:t xml:space="preserve">[name, signature]</w:t>
      </w:r>
      <w:r>
        <w:rPr>
          <w:rFonts w:ascii="Arial" w:cs="Arial" w:eastAsia="Arial" w:hAnsi="Arial"/>
          <w:color w:val="14171A"/>
          <w:sz w:val="21"/>
          <w:szCs w:val="21"/>
        </w:rPr>
        <w:t xml:space="preserve"> — for the Works Council: </w:t>
      </w:r>
      <w:r>
        <w:rPr>
          <w:rFonts w:ascii="Arial" w:cs="Arial" w:eastAsia="Arial" w:hAnsi="Arial"/>
          <w:color w:val="14171A"/>
          <w:sz w:val="21"/>
          <w:szCs w:val="21"/>
          <w:highlight w:val="yellow"/>
        </w:rPr>
        <w:t xml:space="preserve">[name, signature]</w:t>
      </w:r>
    </w:p>
    <w:p>
      <w:pPr>
        <w:keepNext/>
        <w:spacing w:after="120" w:before="280"/>
      </w:pPr>
      <w:r>
        <w:rPr>
          <w:rFonts w:ascii="Arial" w:cs="Arial" w:eastAsia="Arial" w:hAnsi="Arial"/>
          <w:b/>
          <w:bCs/>
          <w:color w:val="14171A"/>
          <w:sz w:val="25"/>
          <w:szCs w:val="25"/>
        </w:rPr>
        <w:t xml:space="preserve">Annexes</w:t>
      </w:r>
    </w:p>
    <w:p>
      <w:pPr>
        <w:pStyle w:val="ListParagraph"/>
        <w:numPr>
          <w:ilvl w:val="0"/>
          <w:numId w:val="2"/>
        </w:numPr>
        <w:spacing w:after="80" w:line="290"/>
      </w:pPr>
      <w:r>
        <w:rPr>
          <w:rFonts w:ascii="Arial" w:cs="Arial" w:eastAsia="Arial" w:hAnsi="Arial"/>
          <w:color w:val="14171A"/>
          <w:sz w:val="21"/>
          <w:szCs w:val="21"/>
        </w:rPr>
        <w:t xml:space="preserve">Annex 1: Modules in use — </w:t>
      </w:r>
      <w:r>
        <w:rPr>
          <w:rFonts w:ascii="Arial" w:cs="Arial" w:eastAsia="Arial" w:hAnsi="Arial"/>
          <w:color w:val="14171A"/>
          <w:sz w:val="21"/>
          <w:szCs w:val="21"/>
          <w:highlight w:val="yellow"/>
        </w:rPr>
        <w:t xml:space="preserve">[list]</w:t>
      </w:r>
    </w:p>
    <w:p>
      <w:pPr>
        <w:pStyle w:val="ListParagraph"/>
        <w:numPr>
          <w:ilvl w:val="0"/>
          <w:numId w:val="2"/>
        </w:numPr>
        <w:spacing w:after="80" w:line="290"/>
      </w:pPr>
      <w:r>
        <w:rPr>
          <w:rFonts w:ascii="Arial" w:cs="Arial" w:eastAsia="Arial" w:hAnsi="Arial"/>
          <w:color w:val="14171A"/>
          <w:sz w:val="21"/>
          <w:szCs w:val="21"/>
        </w:rPr>
        <w:t xml:space="preserve">Annex 2: Processed data — see the table in the “Information for the works council” document, section 2</w:t>
      </w:r>
    </w:p>
    <w:p>
      <w:pPr>
        <w:pStyle w:val="ListParagraph"/>
        <w:numPr>
          <w:ilvl w:val="0"/>
          <w:numId w:val="2"/>
        </w:numPr>
        <w:spacing w:after="80" w:line="290"/>
      </w:pPr>
      <w:r>
        <w:rPr>
          <w:rFonts w:ascii="Arial" w:cs="Arial" w:eastAsia="Arial" w:hAnsi="Arial"/>
          <w:color w:val="14171A"/>
          <w:sz w:val="21"/>
          <w:szCs w:val="21"/>
        </w:rPr>
        <w:t xml:space="preserve">Annex 3: Role concept — see the table in the “Information for the works council” document, section 3</w:t>
      </w:r>
    </w:p>
    <w:p>
      <w:pPr>
        <w:pStyle w:val="ListParagraph"/>
        <w:numPr>
          <w:ilvl w:val="0"/>
          <w:numId w:val="2"/>
        </w:numPr>
        <w:spacing w:after="80" w:line="290"/>
      </w:pPr>
      <w:r>
        <w:rPr>
          <w:rFonts w:ascii="Arial" w:cs="Arial" w:eastAsia="Arial" w:hAnsi="Arial"/>
          <w:color w:val="14171A"/>
          <w:sz w:val="21"/>
          <w:szCs w:val="21"/>
        </w:rPr>
        <w:t xml:space="preserve">Annex 4: Technical and organisational measures — Annex 2 of the provider's data processing agreement</w:t>
      </w:r>
    </w:p>
    <w:sectPr>
      <w:headerReference w:type="default" r:id="rId6"/>
      <w:footerReference w:type="default" r:id="rId7"/>
      <w:pgSz w:w="11906" w:h="16838" w:orient="portrait"/>
      <w:pgMar w:top="1300" w:right="1250" w:bottom="1200" w:left="12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6636A"/>
        <w:sz w:val="16"/>
        <w:szCs w:val="16"/>
      </w:rPr>
      <w:t xml:space="preserve">EHS Axis — Works agreement template · 2026-10 · </w:t>
    </w:r>
    <w:r>
      <w:rPr>
        <w:rFonts w:ascii="Arial" w:cs="Arial" w:eastAsia="Arial" w:hAnsi="Arial"/>
        <w:color w:val="5663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b/>
        <w:bCs/>
        <w:color w:val="14171A"/>
        <w:sz w:val="18"/>
        <w:szCs w:val="18"/>
      </w:rPr>
      <w:t xml:space="preserve">EHS </w:t>
    </w:r>
    <w:r>
      <w:rPr>
        <w:rFonts w:ascii="Arial" w:cs="Arial" w:eastAsia="Arial" w:hAnsi="Arial"/>
        <w:color w:val="14171A"/>
        <w:sz w:val="18"/>
        <w:szCs w:val="18"/>
      </w:rPr>
      <w:t xml:space="preserve">Axis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 agreement on the use of EHS Axis</dc:title>
  <dc:creator>EHS Axis</dc:creator>
  <dc:description>Template</dc:description>
  <cp:lastModifiedBy>Un-named</cp:lastModifiedBy>
  <cp:revision>1</cp:revision>
  <dcterms:created xsi:type="dcterms:W3CDTF">2026-10-14T15:37:08.224Z</dcterms:created>
  <dcterms:modified xsi:type="dcterms:W3CDTF">2026-10-14T15:37:08.224Z</dcterms:modified>
</cp:coreProperties>
</file>

<file path=docProps/custom.xml><?xml version="1.0" encoding="utf-8"?>
<Properties xmlns="http://schemas.openxmlformats.org/officeDocument/2006/custom-properties" xmlns:vt="http://schemas.openxmlformats.org/officeDocument/2006/docPropsVTypes"/>
</file>