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14171A"/>
          <w:sz w:val="36"/>
          <w:szCs w:val="36"/>
        </w:rPr>
        <w:t xml:space="preserve">Betriebsvereinbarung über den Einsatz von EHS Axis</w:t>
      </w:r>
    </w:p>
    <w:p>
      <w:pPr>
        <w:pBdr>
          <w:bottom w:val="single" w:color="14171A" w:sz="12" w:space="6"/>
        </w:pBdr>
        <w:spacing w:after="260"/>
      </w:pPr>
      <w:r>
        <w:rPr>
          <w:rFonts w:ascii="Arial" w:cs="Arial" w:eastAsia="Arial" w:hAnsi="Arial"/>
          <w:color w:val="56636A"/>
          <w:sz w:val="24"/>
          <w:szCs w:val="24"/>
        </w:rPr>
        <w:t xml:space="preserve">Muster</w:t>
      </w:r>
    </w:p>
    <w:p>
      <w:pPr>
        <w:pBdr>
          <w:left w:val="single" w:color="C9F73D" w:sz="18" w:space="8"/>
        </w:pBdr>
        <w:shd w:fill="F1F3F2" w:color="auto" w:val="clear"/>
        <w:spacing w:after="160" w:line="280"/>
      </w:pPr>
      <w:r>
        <w:rPr>
          <w:rFonts w:ascii="Arial" w:cs="Arial" w:eastAsia="Arial" w:hAnsi="Arial"/>
          <w:i/>
          <w:iCs/>
          <w:color w:val="56636A"/>
          <w:sz w:val="19"/>
          <w:szCs w:val="19"/>
        </w:rPr>
        <w:t xml:space="preserve">Vorlage von Cyber in Systems Kft. für Kunden von EHS Axis (Version 2026-10). Sie stellt keine Rechtsberatung dar. Felder in eckigen Klammern </w:t>
      </w:r>
      <w:r>
        <w:rPr>
          <w:rFonts w:ascii="Arial" w:cs="Arial" w:eastAsia="Arial" w:hAnsi="Arial"/>
          <w:i/>
          <w:iCs/>
          <w:color w:val="56636A"/>
          <w:sz w:val="19"/>
          <w:szCs w:val="19"/>
          <w:highlight w:val="yellow"/>
        </w:rPr>
        <w:t xml:space="preserve">[ … ]</w:t>
      </w:r>
      <w:r>
        <w:rPr>
          <w:rFonts w:ascii="Arial" w:cs="Arial" w:eastAsia="Arial" w:hAnsi="Arial"/>
          <w:i/>
          <w:iCs/>
          <w:color w:val="56636A"/>
          <w:sz w:val="19"/>
          <w:szCs w:val="19"/>
        </w:rPr>
        <w:t xml:space="preserve"> sind vom Kunden auszufüllen bzw. zu prüfen; lassen Sie die endgültige Fassung von Ihrem Datenschutzbeauftragten und ggf. rechtlich prüfen.</w:t>
      </w:r>
    </w:p>
    <w:p>
      <w:pPr>
        <w:spacing w:after="140" w:line="300"/>
      </w:pPr>
      <w:r>
        <w:rPr>
          <w:rFonts w:ascii="Arial" w:cs="Arial" w:eastAsia="Arial" w:hAnsi="Arial"/>
          <w:color w:val="14171A"/>
          <w:sz w:val="21"/>
          <w:szCs w:val="21"/>
        </w:rPr>
        <w:t xml:space="preserve">Zwischen </w:t>
      </w:r>
      <w:r>
        <w:rPr>
          <w:rFonts w:ascii="Arial" w:cs="Arial" w:eastAsia="Arial" w:hAnsi="Arial"/>
          <w:color w:val="14171A"/>
          <w:sz w:val="21"/>
          <w:szCs w:val="21"/>
          <w:highlight w:val="yellow"/>
        </w:rPr>
        <w:t xml:space="preserve">[Firmenname, Anschrift]</w:t>
      </w:r>
      <w:r>
        <w:rPr>
          <w:rFonts w:ascii="Arial" w:cs="Arial" w:eastAsia="Arial" w:hAnsi="Arial"/>
          <w:color w:val="14171A"/>
          <w:sz w:val="21"/>
          <w:szCs w:val="21"/>
        </w:rPr>
        <w:t xml:space="preserve"> („Arbeitgeber“) und dem Betriebsrat </w:t>
      </w:r>
      <w:r>
        <w:rPr>
          <w:rFonts w:ascii="Arial" w:cs="Arial" w:eastAsia="Arial" w:hAnsi="Arial"/>
          <w:color w:val="14171A"/>
          <w:sz w:val="21"/>
          <w:szCs w:val="21"/>
          <w:highlight w:val="yellow"/>
        </w:rPr>
        <w:t xml:space="preserve">[des Unternehmens / des Betriebs]</w:t>
      </w:r>
      <w:r>
        <w:rPr>
          <w:rFonts w:ascii="Arial" w:cs="Arial" w:eastAsia="Arial" w:hAnsi="Arial"/>
          <w:color w:val="14171A"/>
          <w:sz w:val="21"/>
          <w:szCs w:val="21"/>
        </w:rPr>
        <w:t xml:space="preserve"> („Betriebsrat“) wird folgende Betriebsvereinbarung geschlossen.</w:t>
      </w:r>
    </w:p>
    <w:p>
      <w:pPr>
        <w:keepNext/>
        <w:spacing w:after="120" w:before="280"/>
      </w:pPr>
      <w:r>
        <w:rPr>
          <w:rFonts w:ascii="Arial" w:cs="Arial" w:eastAsia="Arial" w:hAnsi="Arial"/>
          <w:b/>
          <w:bCs/>
          <w:color w:val="14171A"/>
          <w:sz w:val="25"/>
          <w:szCs w:val="25"/>
        </w:rPr>
        <w:t xml:space="preserve">§ 1 Geltungsbereich</w:t>
      </w:r>
    </w:p>
    <w:p>
      <w:pPr>
        <w:spacing w:after="140" w:line="300"/>
      </w:pPr>
      <w:r>
        <w:rPr>
          <w:rFonts w:ascii="Arial" w:cs="Arial" w:eastAsia="Arial" w:hAnsi="Arial"/>
          <w:color w:val="14171A"/>
          <w:sz w:val="21"/>
          <w:szCs w:val="21"/>
        </w:rPr>
        <w:t xml:space="preserve">Diese Vereinbarung gilt für alle Arbeitnehmer </w:t>
      </w:r>
      <w:r>
        <w:rPr>
          <w:rFonts w:ascii="Arial" w:cs="Arial" w:eastAsia="Arial" w:hAnsi="Arial"/>
          <w:color w:val="14171A"/>
          <w:sz w:val="21"/>
          <w:szCs w:val="21"/>
          <w:highlight w:val="yellow"/>
        </w:rPr>
        <w:t xml:space="preserve">[des Betriebs / der Standorte]</w:t>
      </w:r>
      <w:r>
        <w:rPr>
          <w:rFonts w:ascii="Arial" w:cs="Arial" w:eastAsia="Arial" w:hAnsi="Arial"/>
          <w:color w:val="14171A"/>
          <w:sz w:val="21"/>
          <w:szCs w:val="21"/>
        </w:rPr>
        <w:t xml:space="preserve"> im Sinne von </w:t>
      </w:r>
      <w:r>
        <w:rPr>
          <w:rFonts w:ascii="Arial" w:cs="Arial" w:eastAsia="Arial" w:hAnsi="Arial"/>
          <w:color w:val="14171A"/>
          <w:sz w:val="21"/>
          <w:szCs w:val="21"/>
          <w:highlight w:val="yellow"/>
        </w:rPr>
        <w:t xml:space="preserve">[§ 5 BetrVG / § 36 ArbVG]</w:t>
      </w:r>
      <w:r>
        <w:rPr>
          <w:rFonts w:ascii="Arial" w:cs="Arial" w:eastAsia="Arial" w:hAnsi="Arial"/>
          <w:color w:val="14171A"/>
          <w:sz w:val="21"/>
          <w:szCs w:val="21"/>
        </w:rPr>
        <w:t xml:space="preserve"> mit Ausnahme der leitenden Angestellten.</w:t>
      </w:r>
    </w:p>
    <w:p>
      <w:pPr>
        <w:keepNext/>
        <w:spacing w:after="120" w:before="280"/>
      </w:pPr>
      <w:r>
        <w:rPr>
          <w:rFonts w:ascii="Arial" w:cs="Arial" w:eastAsia="Arial" w:hAnsi="Arial"/>
          <w:b/>
          <w:bCs/>
          <w:color w:val="14171A"/>
          <w:sz w:val="25"/>
          <w:szCs w:val="25"/>
        </w:rPr>
        <w:t xml:space="preserve">§ 2 Gegenstand und Zweck</w:t>
      </w:r>
    </w:p>
    <w:p>
      <w:pPr>
        <w:spacing w:after="140" w:line="300"/>
      </w:pPr>
      <w:r>
        <w:rPr>
          <w:rFonts w:ascii="Arial" w:cs="Arial" w:eastAsia="Arial" w:hAnsi="Arial"/>
          <w:color w:val="14171A"/>
          <w:sz w:val="21"/>
          <w:szCs w:val="21"/>
        </w:rPr>
        <w:t xml:space="preserve">(1) Gegenstand dieser Vereinbarung ist die Einführung und Nutzung der Software EHS Axis für das Arbeits-, Gesundheits- und Umweltschutzmanagement. Die genutzten Module sind in Anlage 1 aufgeführt.</w:t>
      </w:r>
    </w:p>
    <w:p>
      <w:pPr>
        <w:spacing w:after="140" w:line="300"/>
      </w:pPr>
      <w:r>
        <w:rPr>
          <w:rFonts w:ascii="Arial" w:cs="Arial" w:eastAsia="Arial" w:hAnsi="Arial"/>
          <w:color w:val="14171A"/>
          <w:sz w:val="21"/>
          <w:szCs w:val="21"/>
        </w:rPr>
        <w:t xml:space="preserve">(2) Das System dient ausschließlich der Verbesserung von Arbeitssicherheit, Gesundheits- und Umweltschutz sowie der Erfüllung gesetzlicher Dokumentationspflichten.</w:t>
      </w:r>
    </w:p>
    <w:p>
      <w:pPr>
        <w:keepNext/>
        <w:spacing w:after="120" w:before="280"/>
      </w:pPr>
      <w:r>
        <w:rPr>
          <w:rFonts w:ascii="Arial" w:cs="Arial" w:eastAsia="Arial" w:hAnsi="Arial"/>
          <w:b/>
          <w:bCs/>
          <w:color w:val="14171A"/>
          <w:sz w:val="25"/>
          <w:szCs w:val="25"/>
        </w:rPr>
        <w:t xml:space="preserve">§ 3 Ausschluss der Leistungs- und Verhaltenskontrolle</w:t>
      </w:r>
    </w:p>
    <w:p>
      <w:pPr>
        <w:spacing w:after="140" w:line="300"/>
      </w:pPr>
      <w:r>
        <w:rPr>
          <w:rFonts w:ascii="Arial" w:cs="Arial" w:eastAsia="Arial" w:hAnsi="Arial"/>
          <w:color w:val="14171A"/>
          <w:sz w:val="21"/>
          <w:szCs w:val="21"/>
        </w:rPr>
        <w:t xml:space="preserve">(1) Die in EHS Axis verarbeiteten Daten dürfen nicht zur Überwachung oder Beurteilung der Leistung oder des Verhaltens einzelner Beschäftigter verwendet werden. Insbesondere dürfen Ereignisprotokolle, Fristen, Listen überfälliger Einträge und Daten der letzten Anmeldung zu diesem Zweck nicht personenbezogen ausgewertet werden.</w:t>
      </w:r>
    </w:p>
    <w:p>
      <w:pPr>
        <w:spacing w:after="140" w:line="300"/>
      </w:pPr>
      <w:r>
        <w:rPr>
          <w:rFonts w:ascii="Arial" w:cs="Arial" w:eastAsia="Arial" w:hAnsi="Arial"/>
          <w:color w:val="14171A"/>
          <w:sz w:val="21"/>
          <w:szCs w:val="21"/>
        </w:rPr>
        <w:t xml:space="preserve">(2) Die personenbezogenen Auswertungen sind </w:t>
      </w:r>
      <w:r>
        <w:rPr>
          <w:rFonts w:ascii="Arial" w:cs="Arial" w:eastAsia="Arial" w:hAnsi="Arial"/>
          <w:color w:val="14171A"/>
          <w:sz w:val="21"/>
          <w:szCs w:val="21"/>
          <w:highlight w:val="yellow"/>
        </w:rPr>
        <w:t xml:space="preserve">[abgeschaltet / werden nur für folgenden Zweck genutzt: …]</w:t>
      </w:r>
      <w:r>
        <w:rPr>
          <w:rFonts w:ascii="Arial" w:cs="Arial" w:eastAsia="Arial" w:hAnsi="Arial"/>
          <w:color w:val="14171A"/>
          <w:sz w:val="21"/>
          <w:szCs w:val="21"/>
        </w:rPr>
        <w:t xml:space="preserve">.</w:t>
      </w:r>
    </w:p>
    <w:p>
      <w:pPr>
        <w:spacing w:after="140" w:line="300"/>
      </w:pPr>
      <w:r>
        <w:rPr>
          <w:rFonts w:ascii="Arial" w:cs="Arial" w:eastAsia="Arial" w:hAnsi="Arial"/>
          <w:color w:val="14171A"/>
          <w:sz w:val="21"/>
          <w:szCs w:val="21"/>
        </w:rPr>
        <w:t xml:space="preserve">(3) Erkenntnisse, die unter Verstoß gegen Absatz 1 gewonnen wurden, dürfen nicht als Grundlage für personelle Maßnahmen (insbesondere Abmahnungen, Kündigungen oder Beurteilungen) verwendet werden.</w:t>
      </w:r>
    </w:p>
    <w:p>
      <w:pPr>
        <w:spacing w:after="140" w:line="300"/>
      </w:pPr>
      <w:r>
        <w:rPr>
          <w:rFonts w:ascii="Arial" w:cs="Arial" w:eastAsia="Arial" w:hAnsi="Arial"/>
          <w:color w:val="14171A"/>
          <w:sz w:val="21"/>
          <w:szCs w:val="21"/>
        </w:rPr>
        <w:t xml:space="preserve">(4) Die Untersuchung von Unfällen dient der Ermittlung der Ursachen und der Verhütung von Wiederholungen, nicht der Feststellung individueller Schuld.</w:t>
      </w:r>
    </w:p>
    <w:p>
      <w:pPr>
        <w:keepNext/>
        <w:spacing w:after="120" w:before="280"/>
      </w:pPr>
      <w:r>
        <w:rPr>
          <w:rFonts w:ascii="Arial" w:cs="Arial" w:eastAsia="Arial" w:hAnsi="Arial"/>
          <w:b/>
          <w:bCs/>
          <w:color w:val="14171A"/>
          <w:sz w:val="25"/>
          <w:szCs w:val="25"/>
        </w:rPr>
        <w:t xml:space="preserve">§ 4 Verarbeitete Daten</w:t>
      </w:r>
    </w:p>
    <w:p>
      <w:pPr>
        <w:spacing w:after="140" w:line="300"/>
      </w:pPr>
      <w:r>
        <w:rPr>
          <w:rFonts w:ascii="Arial" w:cs="Arial" w:eastAsia="Arial" w:hAnsi="Arial"/>
          <w:color w:val="14171A"/>
          <w:sz w:val="21"/>
          <w:szCs w:val="21"/>
        </w:rPr>
        <w:t xml:space="preserve">Es werden ausschließlich die in Anlage 2 aufgeführten Daten verarbeitet. Erweiterungen (neue Module, neue Datenfelder, Schnittstellen zu anderen Systemen) bedürfen der vorherigen Zustimmung des Betriebsrats.</w:t>
      </w:r>
    </w:p>
    <w:p>
      <w:pPr>
        <w:keepNext/>
        <w:spacing w:after="120" w:before="280"/>
      </w:pPr>
      <w:r>
        <w:rPr>
          <w:rFonts w:ascii="Arial" w:cs="Arial" w:eastAsia="Arial" w:hAnsi="Arial"/>
          <w:b/>
          <w:bCs/>
          <w:color w:val="14171A"/>
          <w:sz w:val="25"/>
          <w:szCs w:val="25"/>
        </w:rPr>
        <w:t xml:space="preserve">§ 5 Zugriffsrechte</w:t>
      </w:r>
    </w:p>
    <w:p>
      <w:pPr>
        <w:spacing w:after="140" w:line="300"/>
      </w:pPr>
      <w:r>
        <w:rPr>
          <w:rFonts w:ascii="Arial" w:cs="Arial" w:eastAsia="Arial" w:hAnsi="Arial"/>
          <w:color w:val="14171A"/>
          <w:sz w:val="21"/>
          <w:szCs w:val="21"/>
        </w:rPr>
        <w:t xml:space="preserve">(1) Zugriff wird nach dem Rollenkonzept in Anlage 3 gewährt. Die Rollen vergibt </w:t>
      </w:r>
      <w:r>
        <w:rPr>
          <w:rFonts w:ascii="Arial" w:cs="Arial" w:eastAsia="Arial" w:hAnsi="Arial"/>
          <w:color w:val="14171A"/>
          <w:sz w:val="21"/>
          <w:szCs w:val="21"/>
          <w:highlight w:val="yellow"/>
        </w:rPr>
        <w:t xml:space="preserve">[Funktion]</w:t>
      </w:r>
      <w:r>
        <w:rPr>
          <w:rFonts w:ascii="Arial" w:cs="Arial" w:eastAsia="Arial" w:hAnsi="Arial"/>
          <w:color w:val="14171A"/>
          <w:sz w:val="21"/>
          <w:szCs w:val="21"/>
        </w:rPr>
        <w:t xml:space="preserve">; der Betriebsrat erhält auf Anfrage eine aktuelle Liste der Administratoren.</w:t>
      </w:r>
    </w:p>
    <w:p>
      <w:pPr>
        <w:spacing w:after="140" w:line="300"/>
      </w:pPr>
      <w:r>
        <w:rPr>
          <w:rFonts w:ascii="Arial" w:cs="Arial" w:eastAsia="Arial" w:hAnsi="Arial"/>
          <w:color w:val="14171A"/>
          <w:sz w:val="21"/>
          <w:szCs w:val="21"/>
        </w:rPr>
        <w:t xml:space="preserve">(2) Gesundheitsdaten in Unfallakten sind nur für Administratoren und den benannten Untersuchenden zugänglich.</w:t>
      </w:r>
    </w:p>
    <w:p>
      <w:pPr>
        <w:spacing w:after="140" w:line="300"/>
      </w:pPr>
      <w:r>
        <w:rPr>
          <w:rFonts w:ascii="Arial" w:cs="Arial" w:eastAsia="Arial" w:hAnsi="Arial"/>
          <w:color w:val="14171A"/>
          <w:sz w:val="21"/>
          <w:szCs w:val="21"/>
        </w:rPr>
        <w:t xml:space="preserve">(3) Die Zwei-Faktor-Authentifizierung ist </w:t>
      </w:r>
      <w:r>
        <w:rPr>
          <w:rFonts w:ascii="Arial" w:cs="Arial" w:eastAsia="Arial" w:hAnsi="Arial"/>
          <w:color w:val="14171A"/>
          <w:sz w:val="21"/>
          <w:szCs w:val="21"/>
          <w:highlight w:val="yellow"/>
        </w:rPr>
        <w:t xml:space="preserve">[für Administratoren verpflichtend / für alle Nutzer verpflichtend / empfohlen]</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 6 Exporte und Weitergabe</w:t>
      </w:r>
    </w:p>
    <w:p>
      <w:pPr>
        <w:spacing w:after="140" w:line="300"/>
      </w:pPr>
      <w:r>
        <w:rPr>
          <w:rFonts w:ascii="Arial" w:cs="Arial" w:eastAsia="Arial" w:hAnsi="Arial"/>
          <w:color w:val="14171A"/>
          <w:sz w:val="21"/>
          <w:szCs w:val="21"/>
        </w:rPr>
        <w:t xml:space="preserve">Daten dürfen nur für die Zwecke nach § 2 exportiert werden (Excel, PDF). Exporte mit personenbezogenen Daten werden ausschließlich in </w:t>
      </w:r>
      <w:r>
        <w:rPr>
          <w:rFonts w:ascii="Arial" w:cs="Arial" w:eastAsia="Arial" w:hAnsi="Arial"/>
          <w:color w:val="14171A"/>
          <w:sz w:val="21"/>
          <w:szCs w:val="21"/>
          <w:highlight w:val="yellow"/>
        </w:rPr>
        <w:t xml:space="preserve">[Speicherort]</w:t>
      </w:r>
      <w:r>
        <w:rPr>
          <w:rFonts w:ascii="Arial" w:cs="Arial" w:eastAsia="Arial" w:hAnsi="Arial"/>
          <w:color w:val="14171A"/>
          <w:sz w:val="21"/>
          <w:szCs w:val="21"/>
        </w:rPr>
        <w:t xml:space="preserve"> abgelegt und gelöscht, sobald sie nicht mehr benötigt werden. Eine Weitergabe an Dritte erfolgt nur, soweit dies gesetzlich vorgeschrieben ist (z. B. Unfallversicherungsträger, Behörden), oder mit Zustimmung des Betriebsrats.</w:t>
      </w:r>
    </w:p>
    <w:p>
      <w:pPr>
        <w:keepNext/>
        <w:spacing w:after="120" w:before="280"/>
      </w:pPr>
      <w:r>
        <w:rPr>
          <w:rFonts w:ascii="Arial" w:cs="Arial" w:eastAsia="Arial" w:hAnsi="Arial"/>
          <w:b/>
          <w:bCs/>
          <w:color w:val="14171A"/>
          <w:sz w:val="25"/>
          <w:szCs w:val="25"/>
        </w:rPr>
        <w:t xml:space="preserve">§ 7 Aufbewahrung und Löschung</w:t>
      </w:r>
    </w:p>
    <w:p>
      <w:pPr>
        <w:spacing w:after="140" w:line="300"/>
      </w:pPr>
      <w:r>
        <w:rPr>
          <w:rFonts w:ascii="Arial" w:cs="Arial" w:eastAsia="Arial" w:hAnsi="Arial"/>
          <w:color w:val="14171A"/>
          <w:sz w:val="21"/>
          <w:szCs w:val="21"/>
        </w:rPr>
        <w:t xml:space="preserve">Daten werden gelöscht, sobald sie für die Zwecke nach § 2 nicht mehr benötigt werden und gesetzliche Aufbewahrungsfristen abgelaufen sind: </w:t>
      </w:r>
      <w:r>
        <w:rPr>
          <w:rFonts w:ascii="Arial" w:cs="Arial" w:eastAsia="Arial" w:hAnsi="Arial"/>
          <w:color w:val="14171A"/>
          <w:sz w:val="21"/>
          <w:szCs w:val="21"/>
          <w:highlight w:val="yellow"/>
        </w:rPr>
        <w:t xml:space="preserve">[z. B. Unfalldokumentation … Jahre, Schulungsnachweise … Jahre nach Ausscheiden, Abweichungen … Jahre nach Abschluss]</w:t>
      </w:r>
      <w:r>
        <w:rPr>
          <w:rFonts w:ascii="Arial" w:cs="Arial" w:eastAsia="Arial" w:hAnsi="Arial"/>
          <w:color w:val="14171A"/>
          <w:sz w:val="21"/>
          <w:szCs w:val="21"/>
        </w:rPr>
        <w:t xml:space="preserve">. Verantwortlich für die Löschung: </w:t>
      </w:r>
      <w:r>
        <w:rPr>
          <w:rFonts w:ascii="Arial" w:cs="Arial" w:eastAsia="Arial" w:hAnsi="Arial"/>
          <w:color w:val="14171A"/>
          <w:sz w:val="21"/>
          <w:szCs w:val="21"/>
          <w:highlight w:val="yellow"/>
        </w:rPr>
        <w:t xml:space="preserve">[Funktion]</w:t>
      </w:r>
      <w:r>
        <w:rPr>
          <w:rFonts w:ascii="Arial" w:cs="Arial" w:eastAsia="Arial" w:hAnsi="Arial"/>
          <w:color w:val="14171A"/>
          <w:sz w:val="21"/>
          <w:szCs w:val="21"/>
        </w:rPr>
        <w:t xml:space="preserve">.</w:t>
      </w:r>
    </w:p>
    <w:p>
      <w:pPr>
        <w:keepNext/>
        <w:spacing w:after="120" w:before="280"/>
      </w:pPr>
      <w:r>
        <w:rPr>
          <w:rFonts w:ascii="Arial" w:cs="Arial" w:eastAsia="Arial" w:hAnsi="Arial"/>
          <w:b/>
          <w:bCs/>
          <w:color w:val="14171A"/>
          <w:sz w:val="25"/>
          <w:szCs w:val="25"/>
        </w:rPr>
        <w:t xml:space="preserve">§ 8 Rechte des Betriebsrats</w:t>
      </w:r>
    </w:p>
    <w:p>
      <w:pPr>
        <w:spacing w:after="140" w:line="300"/>
      </w:pPr>
      <w:r>
        <w:rPr>
          <w:rFonts w:ascii="Arial" w:cs="Arial" w:eastAsia="Arial" w:hAnsi="Arial"/>
          <w:color w:val="14171A"/>
          <w:sz w:val="21"/>
          <w:szCs w:val="21"/>
        </w:rPr>
        <w:t xml:space="preserve">(1) Der Betriebsrat kann die Einhaltung dieser Vereinbarung jederzeit überprüfen; er kann nach </w:t>
      </w:r>
      <w:r>
        <w:rPr>
          <w:rFonts w:ascii="Arial" w:cs="Arial" w:eastAsia="Arial" w:hAnsi="Arial"/>
          <w:color w:val="14171A"/>
          <w:sz w:val="21"/>
          <w:szCs w:val="21"/>
          <w:highlight w:val="yellow"/>
        </w:rPr>
        <w:t xml:space="preserve">[§ 80 Abs. 3 BetrVG]</w:t>
      </w:r>
      <w:r>
        <w:rPr>
          <w:rFonts w:ascii="Arial" w:cs="Arial" w:eastAsia="Arial" w:hAnsi="Arial"/>
          <w:color w:val="14171A"/>
          <w:sz w:val="21"/>
          <w:szCs w:val="21"/>
        </w:rPr>
        <w:t xml:space="preserve"> auf Kosten des Arbeitgebers einen Sachverständigen hinzuziehen.</w:t>
      </w:r>
    </w:p>
    <w:p>
      <w:pPr>
        <w:spacing w:after="140" w:line="300"/>
      </w:pPr>
      <w:r>
        <w:rPr>
          <w:rFonts w:ascii="Arial" w:cs="Arial" w:eastAsia="Arial" w:hAnsi="Arial"/>
          <w:color w:val="14171A"/>
          <w:sz w:val="21"/>
          <w:szCs w:val="21"/>
        </w:rPr>
        <w:t xml:space="preserve">(2) Der Betriebsrat wird vorab über Aktualisierungen unterrichtet, die die Verarbeitung personenbezogener Daten verändern. Die öffentliche Sicherheitsseite des Anbieters und der Auftragsverarbeitungsvertrag werden zur Verfügung gestellt.</w:t>
      </w:r>
    </w:p>
    <w:p>
      <w:pPr>
        <w:keepNext/>
        <w:spacing w:after="120" w:before="280"/>
      </w:pPr>
      <w:r>
        <w:rPr>
          <w:rFonts w:ascii="Arial" w:cs="Arial" w:eastAsia="Arial" w:hAnsi="Arial"/>
          <w:b/>
          <w:bCs/>
          <w:color w:val="14171A"/>
          <w:sz w:val="25"/>
          <w:szCs w:val="25"/>
        </w:rPr>
        <w:t xml:space="preserve">§ 9 Schulung und Information der Beschäftigten</w:t>
      </w:r>
    </w:p>
    <w:p>
      <w:pPr>
        <w:spacing w:after="140" w:line="300"/>
      </w:pPr>
      <w:r>
        <w:rPr>
          <w:rFonts w:ascii="Arial" w:cs="Arial" w:eastAsia="Arial" w:hAnsi="Arial"/>
          <w:color w:val="14171A"/>
          <w:sz w:val="21"/>
          <w:szCs w:val="21"/>
        </w:rPr>
        <w:t xml:space="preserve">Die Nutzer werden vor der ersten Nutzung geschult. Alle Beschäftigten werden über </w:t>
      </w:r>
      <w:r>
        <w:rPr>
          <w:rFonts w:ascii="Arial" w:cs="Arial" w:eastAsia="Arial" w:hAnsi="Arial"/>
          <w:color w:val="14171A"/>
          <w:sz w:val="21"/>
          <w:szCs w:val="21"/>
          <w:highlight w:val="yellow"/>
        </w:rPr>
        <w:t xml:space="preserve">[Datenschutzhinweise / Intranet]</w:t>
      </w:r>
      <w:r>
        <w:rPr>
          <w:rFonts w:ascii="Arial" w:cs="Arial" w:eastAsia="Arial" w:hAnsi="Arial"/>
          <w:color w:val="14171A"/>
          <w:sz w:val="21"/>
          <w:szCs w:val="21"/>
        </w:rPr>
        <w:t xml:space="preserve"> über den Zweck des Systems und die verarbeiteten Daten informiert.</w:t>
      </w:r>
    </w:p>
    <w:p>
      <w:pPr>
        <w:keepNext/>
        <w:spacing w:after="120" w:before="280"/>
      </w:pPr>
      <w:r>
        <w:rPr>
          <w:rFonts w:ascii="Arial" w:cs="Arial" w:eastAsia="Arial" w:hAnsi="Arial"/>
          <w:b/>
          <w:bCs/>
          <w:color w:val="14171A"/>
          <w:sz w:val="25"/>
          <w:szCs w:val="25"/>
        </w:rPr>
        <w:t xml:space="preserve">§ 10 Schlussbestimmungen</w:t>
      </w:r>
    </w:p>
    <w:p>
      <w:pPr>
        <w:spacing w:after="140" w:line="300"/>
      </w:pPr>
      <w:r>
        <w:rPr>
          <w:rFonts w:ascii="Arial" w:cs="Arial" w:eastAsia="Arial" w:hAnsi="Arial"/>
          <w:color w:val="14171A"/>
          <w:sz w:val="21"/>
          <w:szCs w:val="21"/>
        </w:rPr>
        <w:t xml:space="preserve">(1) Diese Vereinbarung tritt am </w:t>
      </w:r>
      <w:r>
        <w:rPr>
          <w:rFonts w:ascii="Arial" w:cs="Arial" w:eastAsia="Arial" w:hAnsi="Arial"/>
          <w:color w:val="14171A"/>
          <w:sz w:val="21"/>
          <w:szCs w:val="21"/>
          <w:highlight w:val="yellow"/>
        </w:rPr>
        <w:t xml:space="preserve">[Datum]</w:t>
      </w:r>
      <w:r>
        <w:rPr>
          <w:rFonts w:ascii="Arial" w:cs="Arial" w:eastAsia="Arial" w:hAnsi="Arial"/>
          <w:color w:val="14171A"/>
          <w:sz w:val="21"/>
          <w:szCs w:val="21"/>
        </w:rPr>
        <w:t xml:space="preserve"> in Kraft. Sie kann mit einer Frist von </w:t>
      </w:r>
      <w:r>
        <w:rPr>
          <w:rFonts w:ascii="Arial" w:cs="Arial" w:eastAsia="Arial" w:hAnsi="Arial"/>
          <w:color w:val="14171A"/>
          <w:sz w:val="21"/>
          <w:szCs w:val="21"/>
          <w:highlight w:val="yellow"/>
        </w:rPr>
        <w:t xml:space="preserve">[drei]</w:t>
      </w:r>
      <w:r>
        <w:rPr>
          <w:rFonts w:ascii="Arial" w:cs="Arial" w:eastAsia="Arial" w:hAnsi="Arial"/>
          <w:color w:val="14171A"/>
          <w:sz w:val="21"/>
          <w:szCs w:val="21"/>
        </w:rPr>
        <w:t xml:space="preserve"> Monaten zum Monatsende gekündigt werden; sie gilt bis zum Abschluss einer neuen Vereinbarung fort.</w:t>
      </w:r>
    </w:p>
    <w:p>
      <w:pPr>
        <w:spacing w:after="140" w:line="300"/>
      </w:pPr>
      <w:r>
        <w:rPr>
          <w:rFonts w:ascii="Arial" w:cs="Arial" w:eastAsia="Arial" w:hAnsi="Arial"/>
          <w:color w:val="14171A"/>
          <w:sz w:val="21"/>
          <w:szCs w:val="21"/>
        </w:rPr>
        <w:t xml:space="preserve">(2) Sollte eine Bestimmung unwirksam sein, bleiben die übrigen Bestimmungen unberührt; die Parteien werden die unwirksame Bestimmung durch eine wirksame ersetzen, die deren Zweck am nächsten kommt.</w:t>
      </w:r>
    </w:p>
    <w:p>
      <w:pPr>
        <w:spacing w:after="140" w:line="300"/>
      </w:pPr>
      <w:r>
        <w:rPr>
          <w:rFonts w:ascii="Arial" w:cs="Arial" w:eastAsia="Arial" w:hAnsi="Arial"/>
          <w:color w:val="14171A"/>
          <w:sz w:val="21"/>
          <w:szCs w:val="21"/>
          <w:highlight w:val="yellow"/>
        </w:rPr>
        <w:t xml:space="preserve">[Ort, Datum]</w:t>
      </w:r>
      <w:r>
        <w:rPr>
          <w:rFonts w:ascii="Arial" w:cs="Arial" w:eastAsia="Arial" w:hAnsi="Arial"/>
          <w:color w:val="14171A"/>
          <w:sz w:val="21"/>
          <w:szCs w:val="21"/>
        </w:rPr>
        <w:t xml:space="preserve"> – für den Arbeitgeber: </w:t>
      </w:r>
      <w:r>
        <w:rPr>
          <w:rFonts w:ascii="Arial" w:cs="Arial" w:eastAsia="Arial" w:hAnsi="Arial"/>
          <w:color w:val="14171A"/>
          <w:sz w:val="21"/>
          <w:szCs w:val="21"/>
          <w:highlight w:val="yellow"/>
        </w:rPr>
        <w:t xml:space="preserve">[Name, Unterschrift]</w:t>
      </w:r>
      <w:r>
        <w:rPr>
          <w:rFonts w:ascii="Arial" w:cs="Arial" w:eastAsia="Arial" w:hAnsi="Arial"/>
          <w:color w:val="14171A"/>
          <w:sz w:val="21"/>
          <w:szCs w:val="21"/>
        </w:rPr>
        <w:t xml:space="preserve"> – für den Betriebsrat: </w:t>
      </w:r>
      <w:r>
        <w:rPr>
          <w:rFonts w:ascii="Arial" w:cs="Arial" w:eastAsia="Arial" w:hAnsi="Arial"/>
          <w:color w:val="14171A"/>
          <w:sz w:val="21"/>
          <w:szCs w:val="21"/>
          <w:highlight w:val="yellow"/>
        </w:rPr>
        <w:t xml:space="preserve">[Name, Unterschrift]</w:t>
      </w:r>
    </w:p>
    <w:p>
      <w:pPr>
        <w:keepNext/>
        <w:spacing w:after="120" w:before="280"/>
      </w:pPr>
      <w:r>
        <w:rPr>
          <w:rFonts w:ascii="Arial" w:cs="Arial" w:eastAsia="Arial" w:hAnsi="Arial"/>
          <w:b/>
          <w:bCs/>
          <w:color w:val="14171A"/>
          <w:sz w:val="25"/>
          <w:szCs w:val="25"/>
        </w:rPr>
        <w:t xml:space="preserve">Anlagen</w:t>
      </w:r>
    </w:p>
    <w:p>
      <w:pPr>
        <w:pStyle w:val="ListParagraph"/>
        <w:numPr>
          <w:ilvl w:val="0"/>
          <w:numId w:val="2"/>
        </w:numPr>
        <w:spacing w:after="80" w:line="290"/>
      </w:pPr>
      <w:r>
        <w:rPr>
          <w:rFonts w:ascii="Arial" w:cs="Arial" w:eastAsia="Arial" w:hAnsi="Arial"/>
          <w:color w:val="14171A"/>
          <w:sz w:val="21"/>
          <w:szCs w:val="21"/>
        </w:rPr>
        <w:t xml:space="preserve">Anlage 1: Genutzte Module – </w:t>
      </w:r>
      <w:r>
        <w:rPr>
          <w:rFonts w:ascii="Arial" w:cs="Arial" w:eastAsia="Arial" w:hAnsi="Arial"/>
          <w:color w:val="14171A"/>
          <w:sz w:val="21"/>
          <w:szCs w:val="21"/>
          <w:highlight w:val="yellow"/>
        </w:rPr>
        <w:t xml:space="preserve">[Liste]</w:t>
      </w:r>
    </w:p>
    <w:p>
      <w:pPr>
        <w:pStyle w:val="ListParagraph"/>
        <w:numPr>
          <w:ilvl w:val="0"/>
          <w:numId w:val="2"/>
        </w:numPr>
        <w:spacing w:after="80" w:line="290"/>
      </w:pPr>
      <w:r>
        <w:rPr>
          <w:rFonts w:ascii="Arial" w:cs="Arial" w:eastAsia="Arial" w:hAnsi="Arial"/>
          <w:color w:val="14171A"/>
          <w:sz w:val="21"/>
          <w:szCs w:val="21"/>
        </w:rPr>
        <w:t xml:space="preserve">Anlage 2: Verarbeitete Daten – siehe die Tabelle im Dokument „Information für den Betriebsrat“, Abschnitt 2</w:t>
      </w:r>
    </w:p>
    <w:p>
      <w:pPr>
        <w:pStyle w:val="ListParagraph"/>
        <w:numPr>
          <w:ilvl w:val="0"/>
          <w:numId w:val="2"/>
        </w:numPr>
        <w:spacing w:after="80" w:line="290"/>
      </w:pPr>
      <w:r>
        <w:rPr>
          <w:rFonts w:ascii="Arial" w:cs="Arial" w:eastAsia="Arial" w:hAnsi="Arial"/>
          <w:color w:val="14171A"/>
          <w:sz w:val="21"/>
          <w:szCs w:val="21"/>
        </w:rPr>
        <w:t xml:space="preserve">Anlage 3: Rollenkonzept – siehe die Tabelle im Dokument „Information für den Betriebsrat“, Abschnitt 3</w:t>
      </w:r>
    </w:p>
    <w:p>
      <w:pPr>
        <w:pStyle w:val="ListParagraph"/>
        <w:numPr>
          <w:ilvl w:val="0"/>
          <w:numId w:val="2"/>
        </w:numPr>
        <w:spacing w:after="80" w:line="290"/>
      </w:pPr>
      <w:r>
        <w:rPr>
          <w:rFonts w:ascii="Arial" w:cs="Arial" w:eastAsia="Arial" w:hAnsi="Arial"/>
          <w:color w:val="14171A"/>
          <w:sz w:val="21"/>
          <w:szCs w:val="21"/>
        </w:rPr>
        <w:t xml:space="preserve">Anlage 4: Technische und organisatorische Maßnahmen – Anlage 2 des Auftragsverarbeitungsvertrags des Anbieters</w:t>
      </w:r>
    </w:p>
    <w:sectPr>
      <w:headerReference w:type="default" r:id="rId6"/>
      <w:footerReference w:type="default" r:id="rId7"/>
      <w:pgSz w:w="11906" w:h="16838" w:orient="portrait"/>
      <w:pgMar w:top="1300" w:right="1250" w:bottom="120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6636A"/>
        <w:sz w:val="16"/>
        <w:szCs w:val="16"/>
      </w:rPr>
      <w:t xml:space="preserve">EHS Axis – Muster-Betriebsvereinbarung · 2026-10 · </w:t>
    </w:r>
    <w:r>
      <w:rPr>
        <w:rFonts w:ascii="Arial" w:cs="Arial" w:eastAsia="Arial" w:hAnsi="Arial"/>
        <w:color w:val="56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b/>
        <w:bCs/>
        <w:color w:val="14171A"/>
        <w:sz w:val="18"/>
        <w:szCs w:val="18"/>
      </w:rPr>
      <w:t xml:space="preserve">EHS </w:t>
    </w:r>
    <w:r>
      <w:rPr>
        <w:rFonts w:ascii="Arial" w:cs="Arial" w:eastAsia="Arial" w:hAnsi="Arial"/>
        <w:color w:val="14171A"/>
        <w:sz w:val="18"/>
        <w:szCs w:val="18"/>
      </w:rPr>
      <w:t xml:space="preserve">Axis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Betriebsvereinbarung über den Einsatz von EHS Axis</dc:title>
  <dc:creator>EHS Axis</dc:creator>
  <dc:description>Muster</dc:description>
  <cp:lastModifiedBy>Un-named</cp:lastModifiedBy>
  <cp:revision>1</cp:revision>
  <dcterms:created xsi:type="dcterms:W3CDTF">2026-10-14T15:34:22.549Z</dcterms:created>
  <dcterms:modified xsi:type="dcterms:W3CDTF">2026-10-14T15:34:22.549Z</dcterms:modified>
</cp:coreProperties>
</file>

<file path=docProps/custom.xml><?xml version="1.0" encoding="utf-8"?>
<Properties xmlns="http://schemas.openxmlformats.org/officeDocument/2006/custom-properties" xmlns:vt="http://schemas.openxmlformats.org/officeDocument/2006/docPropsVTypes"/>
</file>