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14171A"/>
          <w:sz w:val="36"/>
          <w:szCs w:val="36"/>
        </w:rPr>
        <w:t xml:space="preserve">Data Protection Impact Assessment (DPIA)</w:t>
      </w:r>
    </w:p>
    <w:p>
      <w:pPr>
        <w:pBdr>
          <w:bottom w:val="single" w:color="14171A" w:sz="12" w:space="6"/>
        </w:pBdr>
        <w:spacing w:after="260"/>
      </w:pPr>
      <w:r>
        <w:rPr>
          <w:rFonts w:ascii="Arial" w:cs="Arial" w:eastAsia="Arial" w:hAnsi="Arial"/>
          <w:color w:val="56636A"/>
          <w:sz w:val="24"/>
          <w:szCs w:val="24"/>
        </w:rPr>
        <w:t xml:space="preserve">Template for the use of EHS Axis — Art. 35 GDPR</w:t>
      </w:r>
    </w:p>
    <w:p>
      <w:pPr>
        <w:pBdr>
          <w:left w:val="single" w:color="C9F73D" w:sz="18" w:space="8"/>
        </w:pBdr>
        <w:shd w:fill="F1F3F2" w:color="auto" w:val="clear"/>
        <w:spacing w:after="160" w:line="280"/>
      </w:pPr>
      <w:r>
        <w:rPr>
          <w:rFonts w:ascii="Arial" w:cs="Arial" w:eastAsia="Arial" w:hAnsi="Arial"/>
          <w:i/>
          <w:iCs/>
          <w:color w:val="56636A"/>
          <w:sz w:val="19"/>
          <w:szCs w:val="19"/>
        </w:rPr>
        <w:t xml:space="preserve">Template provided by Cyber in Systems Kft. for customers of EHS Axis (version 2026-10). It is not legal advice. Fields in square brackets </w:t>
      </w:r>
      <w:r>
        <w:rPr>
          <w:rFonts w:ascii="Arial" w:cs="Arial" w:eastAsia="Arial" w:hAnsi="Arial"/>
          <w:i/>
          <w:iCs/>
          <w:color w:val="56636A"/>
          <w:sz w:val="19"/>
          <w:szCs w:val="19"/>
          <w:highlight w:val="yellow"/>
        </w:rPr>
        <w:t xml:space="preserve">[ … ]</w:t>
      </w:r>
      <w:r>
        <w:rPr>
          <w:rFonts w:ascii="Arial" w:cs="Arial" w:eastAsia="Arial" w:hAnsi="Arial"/>
          <w:i/>
          <w:iCs/>
          <w:color w:val="56636A"/>
          <w:sz w:val="19"/>
          <w:szCs w:val="19"/>
        </w:rPr>
        <w:t xml:space="preserve"> must be completed or checked by the customer; have the final version reviewed by your data protection officer and, where applicable, legal counsel.</w:t>
      </w:r>
    </w:p>
    <w:p>
      <w:pPr>
        <w:spacing w:after="140" w:line="300"/>
      </w:pPr>
      <w:r>
        <w:rPr>
          <w:rFonts w:ascii="Arial" w:cs="Arial" w:eastAsia="Arial" w:hAnsi="Arial"/>
          <w:color w:val="14171A"/>
          <w:sz w:val="21"/>
          <w:szCs w:val="21"/>
        </w:rPr>
        <w:t xml:space="preserve">This template supports you as the controller in assessing the processing of personal data in EHS Axis. The description of the software, the data and the technical and organisational measures is pre-filled by us as the processor; the assessment of necessity, risks and the final decision remain with you.</w:t>
      </w:r>
    </w:p>
    <w:p>
      <w:pPr>
        <w:keepNext/>
        <w:spacing w:after="120" w:before="280"/>
      </w:pPr>
      <w:r>
        <w:rPr>
          <w:rFonts w:ascii="Arial" w:cs="Arial" w:eastAsia="Arial" w:hAnsi="Arial"/>
          <w:b/>
          <w:bCs/>
          <w:color w:val="14171A"/>
          <w:sz w:val="25"/>
          <w:szCs w:val="25"/>
        </w:rPr>
        <w:t xml:space="preserve">1. General information</w:t>
      </w:r>
    </w:p>
    <w:tbl>
      <w:tblPr>
        <w:tblW w:type="pct" w:w="5000"/>
        <w:tblBorders>
          <w:top w:val="single" w:color="C9CFD2" w:sz="4"/>
          <w:left w:val="single" w:color="C9CFD2" w:sz="4"/>
          <w:bottom w:val="single" w:color="C9CFD2" w:sz="4"/>
          <w:right w:val="single" w:color="C9CFD2" w:sz="4"/>
          <w:insideH w:val="single" w:color="C9CFD2" w:sz="4"/>
          <w:insideV w:val="single" w:color="C9CFD2" w:sz="4"/>
        </w:tblBorders>
      </w:tblPr>
      <w:tblGrid>
        <w:gridCol w:w="3292"/>
        <w:gridCol w:w="6114"/>
      </w:tblGrid>
      <w:tr>
        <w:trPr>
          <w:tblHeader/>
        </w:trPr>
        <w:tc>
          <w:tcPr>
            <w:tcW w:type="pct" w:w="175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Item</w:t>
            </w:r>
          </w:p>
        </w:tc>
        <w:tc>
          <w:tcPr>
            <w:tcW w:type="pct" w:w="325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Entry</w:t>
            </w:r>
          </w:p>
        </w:tc>
      </w:tr>
      <w:tr>
        <w:tc>
          <w:tcPr>
            <w:tcW w:type="pct" w:w="1750"/>
            <w:tcMar>
              <w:top w:type="dxa" w:w="70"/>
              <w:left w:type="dxa" w:w="100"/>
              <w:bottom w:type="dxa" w:w="70"/>
              <w:right w:type="dxa" w:w="100"/>
            </w:tcMar>
          </w:tcPr>
          <w:p>
            <w:r>
              <w:rPr>
                <w:rFonts w:ascii="Arial" w:cs="Arial" w:eastAsia="Arial" w:hAnsi="Arial"/>
                <w:b w:val="false"/>
                <w:bCs w:val="false"/>
                <w:color w:val="14171A"/>
                <w:sz w:val="18"/>
                <w:szCs w:val="18"/>
              </w:rPr>
              <w:t xml:space="preserve">Controller</w:t>
            </w:r>
          </w:p>
        </w:tc>
        <w:tc>
          <w:tcPr>
            <w:tcW w:type="pct" w:w="32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[Company name, address]</w:t>
            </w:r>
          </w:p>
        </w:tc>
      </w:tr>
      <w:tr>
        <w:tc>
          <w:tcPr>
            <w:tcW w:type="pct" w:w="1750"/>
            <w:tcMar>
              <w:top w:type="dxa" w:w="70"/>
              <w:left w:type="dxa" w:w="100"/>
              <w:bottom w:type="dxa" w:w="70"/>
              <w:right w:type="dxa" w:w="100"/>
            </w:tcMar>
          </w:tcPr>
          <w:p>
            <w:r>
              <w:rPr>
                <w:rFonts w:ascii="Arial" w:cs="Arial" w:eastAsia="Arial" w:hAnsi="Arial"/>
                <w:b w:val="false"/>
                <w:bCs w:val="false"/>
                <w:color w:val="14171A"/>
                <w:sz w:val="18"/>
                <w:szCs w:val="18"/>
              </w:rPr>
              <w:t xml:space="preserve">Data protection officer</w:t>
            </w:r>
          </w:p>
        </w:tc>
        <w:tc>
          <w:tcPr>
            <w:tcW w:type="pct" w:w="32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[Name, contact]</w:t>
            </w:r>
          </w:p>
        </w:tc>
      </w:tr>
      <w:tr>
        <w:tc>
          <w:tcPr>
            <w:tcW w:type="pct" w:w="1750"/>
            <w:tcMar>
              <w:top w:type="dxa" w:w="70"/>
              <w:left w:type="dxa" w:w="100"/>
              <w:bottom w:type="dxa" w:w="70"/>
              <w:right w:type="dxa" w:w="100"/>
            </w:tcMar>
          </w:tcPr>
          <w:p>
            <w:r>
              <w:rPr>
                <w:rFonts w:ascii="Arial" w:cs="Arial" w:eastAsia="Arial" w:hAnsi="Arial"/>
                <w:b w:val="false"/>
                <w:bCs w:val="false"/>
                <w:color w:val="14171A"/>
                <w:sz w:val="18"/>
                <w:szCs w:val="18"/>
              </w:rPr>
              <w:t xml:space="preserve">Processing activity</w:t>
            </w:r>
          </w:p>
        </w:tc>
        <w:tc>
          <w:tcPr>
            <w:tcW w:type="pct" w:w="3250"/>
            <w:tcMar>
              <w:top w:type="dxa" w:w="70"/>
              <w:left w:type="dxa" w:w="100"/>
              <w:bottom w:type="dxa" w:w="70"/>
              <w:right w:type="dxa" w:w="100"/>
            </w:tcMar>
          </w:tcPr>
          <w:p>
            <w:r>
              <w:rPr>
                <w:rFonts w:ascii="Arial" w:cs="Arial" w:eastAsia="Arial" w:hAnsi="Arial"/>
                <w:b w:val="false"/>
                <w:bCs w:val="false"/>
                <w:color w:val="14171A"/>
                <w:sz w:val="18"/>
                <w:szCs w:val="18"/>
              </w:rPr>
              <w:t xml:space="preserve">Occupational health, safety and environmental management with the EHS Axis software (non-conformities, corrective actions, audits and inspections, risk assessment, incident register, equipment inspections, training records)</w:t>
            </w:r>
          </w:p>
        </w:tc>
      </w:tr>
      <w:tr>
        <w:tc>
          <w:tcPr>
            <w:tcW w:type="pct" w:w="1750"/>
            <w:tcMar>
              <w:top w:type="dxa" w:w="70"/>
              <w:left w:type="dxa" w:w="100"/>
              <w:bottom w:type="dxa" w:w="70"/>
              <w:right w:type="dxa" w:w="100"/>
            </w:tcMar>
          </w:tcPr>
          <w:p>
            <w:r>
              <w:rPr>
                <w:rFonts w:ascii="Arial" w:cs="Arial" w:eastAsia="Arial" w:hAnsi="Arial"/>
                <w:b w:val="false"/>
                <w:bCs w:val="false"/>
                <w:color w:val="14171A"/>
                <w:sz w:val="18"/>
                <w:szCs w:val="18"/>
              </w:rPr>
              <w:t xml:space="preserve">Processor</w:t>
            </w:r>
          </w:p>
        </w:tc>
        <w:tc>
          <w:tcPr>
            <w:tcW w:type="pct" w:w="3250"/>
            <w:tcMar>
              <w:top w:type="dxa" w:w="70"/>
              <w:left w:type="dxa" w:w="100"/>
              <w:bottom w:type="dxa" w:w="70"/>
              <w:right w:type="dxa" w:w="100"/>
            </w:tcMar>
          </w:tcPr>
          <w:p>
            <w:r>
              <w:rPr>
                <w:rFonts w:ascii="Arial" w:cs="Arial" w:eastAsia="Arial" w:hAnsi="Arial"/>
                <w:b w:val="false"/>
                <w:bCs w:val="false"/>
                <w:color w:val="14171A"/>
                <w:sz w:val="18"/>
                <w:szCs w:val="18"/>
              </w:rPr>
              <w:t xml:space="preserve">Cyber in Systems Kft., 4183 Kaba, Baross Gábor utca 46., Hungary — Data Processing Agreement (DPA) concluded on </w:t>
            </w:r>
            <w:r>
              <w:rPr>
                <w:rFonts w:ascii="Arial" w:cs="Arial" w:eastAsia="Arial" w:hAnsi="Arial"/>
                <w:b w:val="false"/>
                <w:bCs w:val="false"/>
                <w:color w:val="14171A"/>
                <w:sz w:val="18"/>
                <w:szCs w:val="18"/>
                <w:highlight w:val="yellow"/>
              </w:rPr>
              <w:t xml:space="preserve">[date]</w:t>
            </w:r>
          </w:p>
        </w:tc>
      </w:tr>
      <w:tr>
        <w:tc>
          <w:tcPr>
            <w:tcW w:type="pct" w:w="1750"/>
            <w:tcMar>
              <w:top w:type="dxa" w:w="70"/>
              <w:left w:type="dxa" w:w="100"/>
              <w:bottom w:type="dxa" w:w="70"/>
              <w:right w:type="dxa" w:w="100"/>
            </w:tcMar>
          </w:tcPr>
          <w:p>
            <w:r>
              <w:rPr>
                <w:rFonts w:ascii="Arial" w:cs="Arial" w:eastAsia="Arial" w:hAnsi="Arial"/>
                <w:b w:val="false"/>
                <w:bCs w:val="false"/>
                <w:color w:val="14171A"/>
                <w:sz w:val="18"/>
                <w:szCs w:val="18"/>
              </w:rPr>
              <w:t xml:space="preserve">Modules in use</w:t>
            </w:r>
          </w:p>
        </w:tc>
        <w:tc>
          <w:tcPr>
            <w:tcW w:type="pct" w:w="32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[e.g. non-conformities, audits, risks, incidents, equipment, training]</w:t>
            </w:r>
          </w:p>
        </w:tc>
      </w:tr>
      <w:tr>
        <w:tc>
          <w:tcPr>
            <w:tcW w:type="pct" w:w="1750"/>
            <w:tcMar>
              <w:top w:type="dxa" w:w="70"/>
              <w:left w:type="dxa" w:w="100"/>
              <w:bottom w:type="dxa" w:w="70"/>
              <w:right w:type="dxa" w:w="100"/>
            </w:tcMar>
          </w:tcPr>
          <w:p>
            <w:r>
              <w:rPr>
                <w:rFonts w:ascii="Arial" w:cs="Arial" w:eastAsia="Arial" w:hAnsi="Arial"/>
                <w:b w:val="false"/>
                <w:bCs w:val="false"/>
                <w:color w:val="14171A"/>
                <w:sz w:val="18"/>
                <w:szCs w:val="18"/>
              </w:rPr>
              <w:t xml:space="preserve">Sites / organisational units</w:t>
            </w:r>
          </w:p>
        </w:tc>
        <w:tc>
          <w:tcPr>
            <w:tcW w:type="pct" w:w="32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r>
      <w:tr>
        <w:tc>
          <w:tcPr>
            <w:tcW w:type="pct" w:w="1750"/>
            <w:tcMar>
              <w:top w:type="dxa" w:w="70"/>
              <w:left w:type="dxa" w:w="100"/>
              <w:bottom w:type="dxa" w:w="70"/>
              <w:right w:type="dxa" w:w="100"/>
            </w:tcMar>
          </w:tcPr>
          <w:p>
            <w:r>
              <w:rPr>
                <w:rFonts w:ascii="Arial" w:cs="Arial" w:eastAsia="Arial" w:hAnsi="Arial"/>
                <w:b w:val="false"/>
                <w:bCs w:val="false"/>
                <w:color w:val="14171A"/>
                <w:sz w:val="18"/>
                <w:szCs w:val="18"/>
              </w:rPr>
              <w:t xml:space="preserve">Prepared by / date / version</w:t>
            </w:r>
          </w:p>
        </w:tc>
        <w:tc>
          <w:tcPr>
            <w:tcW w:type="pct" w:w="32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r>
    </w:tbl>
    <w:p>
      <w:pPr>
        <w:spacing w:after="100" w:before="0" w:line="20" w:lineRule="exact"/>
      </w:pPr>
      <w:r>
        <w:rPr>
          <w:sz w:val="2"/>
          <w:szCs w:val="2"/>
        </w:rPr>
        <w:t xml:space="preserve"/>
      </w:r>
    </w:p>
    <w:p>
      <w:pPr>
        <w:keepNext/>
        <w:spacing w:after="120" w:before="280"/>
      </w:pPr>
      <w:r>
        <w:rPr>
          <w:rFonts w:ascii="Arial" w:cs="Arial" w:eastAsia="Arial" w:hAnsi="Arial"/>
          <w:b/>
          <w:bCs/>
          <w:color w:val="14171A"/>
          <w:sz w:val="25"/>
          <w:szCs w:val="25"/>
        </w:rPr>
        <w:t xml:space="preserve">2. Is a DPIA required? (threshold assessment)</w:t>
      </w:r>
    </w:p>
    <w:p>
      <w:pPr>
        <w:spacing w:after="140" w:line="300"/>
      </w:pPr>
      <w:r>
        <w:rPr>
          <w:rFonts w:ascii="Arial" w:cs="Arial" w:eastAsia="Arial" w:hAnsi="Arial"/>
          <w:color w:val="14171A"/>
          <w:sz w:val="21"/>
          <w:szCs w:val="21"/>
        </w:rPr>
        <w:t xml:space="preserve">A DPIA is required where processing is likely to result in a high risk (Art. 35(1) GDPR). Check the criteria below; according to the EDPB guidelines (WP 248), two or more criteria usually indicate that a DPIA should be carried out. Also check the list of processing operations published by your supervisory authority (in Germany the DSK “Muss-Liste”, in Austria the DSFA-V).</w:t>
      </w:r>
    </w:p>
    <w:tbl>
      <w:tblPr>
        <w:tblW w:type="pct" w:w="5000"/>
        <w:tblBorders>
          <w:top w:val="single" w:color="C9CFD2" w:sz="4"/>
          <w:left w:val="single" w:color="C9CFD2" w:sz="4"/>
          <w:bottom w:val="single" w:color="C9CFD2" w:sz="4"/>
          <w:right w:val="single" w:color="C9CFD2" w:sz="4"/>
          <w:insideH w:val="single" w:color="C9CFD2" w:sz="4"/>
          <w:insideV w:val="single" w:color="C9CFD2" w:sz="4"/>
        </w:tblBorders>
      </w:tblPr>
      <w:tblGrid>
        <w:gridCol w:w="4703"/>
        <w:gridCol w:w="1599"/>
        <w:gridCol w:w="3104"/>
      </w:tblGrid>
      <w:tr>
        <w:trPr>
          <w:tblHeader/>
        </w:trPr>
        <w:tc>
          <w:tcPr>
            <w:tcW w:type="pct" w:w="25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Criterion</w:t>
            </w:r>
          </w:p>
        </w:tc>
        <w:tc>
          <w:tcPr>
            <w:tcW w:type="pct" w:w="85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Applies?</w:t>
            </w:r>
          </w:p>
        </w:tc>
        <w:tc>
          <w:tcPr>
            <w:tcW w:type="pct" w:w="165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Comment</w:t>
            </w:r>
          </w:p>
        </w:tc>
      </w:tr>
      <w:tr>
        <w:tc>
          <w:tcPr>
            <w:tcW w:type="pct" w:w="2500"/>
            <w:tcMar>
              <w:top w:type="dxa" w:w="70"/>
              <w:left w:type="dxa" w:w="100"/>
              <w:bottom w:type="dxa" w:w="70"/>
              <w:right w:type="dxa" w:w="100"/>
            </w:tcMar>
          </w:tcPr>
          <w:p>
            <w:r>
              <w:rPr>
                <w:rFonts w:ascii="Arial" w:cs="Arial" w:eastAsia="Arial" w:hAnsi="Arial"/>
                <w:b w:val="false"/>
                <w:bCs w:val="false"/>
                <w:color w:val="14171A"/>
                <w:sz w:val="18"/>
                <w:szCs w:val="18"/>
              </w:rPr>
              <w:t xml:space="preserve">Sensitive data (Art. 9 GDPR): health data in the incident register</w:t>
            </w:r>
          </w:p>
        </w:tc>
        <w:tc>
          <w:tcPr>
            <w:tcW w:type="pct" w:w="8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[yes/no]</w:t>
            </w:r>
          </w:p>
        </w:tc>
        <w:tc>
          <w:tcPr>
            <w:tcW w:type="pct" w:w="1650"/>
            <w:tcMar>
              <w:top w:type="dxa" w:w="70"/>
              <w:left w:type="dxa" w:w="100"/>
              <w:bottom w:type="dxa" w:w="70"/>
              <w:right w:type="dxa" w:w="100"/>
            </w:tcMar>
          </w:tcPr>
          <w:p>
            <w:r>
              <w:rPr>
                <w:rFonts w:ascii="Arial" w:cs="Arial" w:eastAsia="Arial" w:hAnsi="Arial"/>
                <w:b w:val="false"/>
                <w:bCs w:val="false"/>
                <w:color w:val="14171A"/>
                <w:sz w:val="18"/>
                <w:szCs w:val="18"/>
              </w:rPr>
              <w:t xml:space="preserve">Only if the incident module is used</w:t>
            </w:r>
          </w:p>
        </w:tc>
      </w:tr>
      <w:tr>
        <w:tc>
          <w:tcPr>
            <w:tcW w:type="pct" w:w="2500"/>
            <w:tcMar>
              <w:top w:type="dxa" w:w="70"/>
              <w:left w:type="dxa" w:w="100"/>
              <w:bottom w:type="dxa" w:w="70"/>
              <w:right w:type="dxa" w:w="100"/>
            </w:tcMar>
          </w:tcPr>
          <w:p>
            <w:r>
              <w:rPr>
                <w:rFonts w:ascii="Arial" w:cs="Arial" w:eastAsia="Arial" w:hAnsi="Arial"/>
                <w:b w:val="false"/>
                <w:bCs w:val="false"/>
                <w:color w:val="14171A"/>
                <w:sz w:val="18"/>
                <w:szCs w:val="18"/>
              </w:rPr>
              <w:t xml:space="preserve">Data concerning vulnerable data subjects (employees in a dependent relationship)</w:t>
            </w:r>
          </w:p>
        </w:tc>
        <w:tc>
          <w:tcPr>
            <w:tcW w:type="pct" w:w="8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[yes/no]</w:t>
            </w:r>
          </w:p>
        </w:tc>
        <w:tc>
          <w:tcPr>
            <w:tcW w:type="pct" w:w="1650"/>
            <w:tcMar>
              <w:top w:type="dxa" w:w="70"/>
              <w:left w:type="dxa" w:w="100"/>
              <w:bottom w:type="dxa" w:w="70"/>
              <w:right w:type="dxa" w:w="100"/>
            </w:tcMar>
          </w:tcPr>
          <w:p>
            <w:r>
              <w:rPr>
                <w:rFonts w:ascii="Arial" w:cs="Arial" w:eastAsia="Arial" w:hAnsi="Arial"/>
                <w:b w:val="false"/>
                <w:bCs w:val="false"/>
                <w:color w:val="14171A"/>
                <w:sz w:val="18"/>
                <w:szCs w:val="18"/>
              </w:rPr>
              <w:t xml:space="preserve">Usually yes in an employment context</w:t>
            </w:r>
          </w:p>
        </w:tc>
      </w:tr>
      <w:tr>
        <w:tc>
          <w:tcPr>
            <w:tcW w:type="pct" w:w="2500"/>
            <w:tcMar>
              <w:top w:type="dxa" w:w="70"/>
              <w:left w:type="dxa" w:w="100"/>
              <w:bottom w:type="dxa" w:w="70"/>
              <w:right w:type="dxa" w:w="100"/>
            </w:tcMar>
          </w:tcPr>
          <w:p>
            <w:r>
              <w:rPr>
                <w:rFonts w:ascii="Arial" w:cs="Arial" w:eastAsia="Arial" w:hAnsi="Arial"/>
                <w:b w:val="false"/>
                <w:bCs w:val="false"/>
                <w:color w:val="14171A"/>
                <w:sz w:val="18"/>
                <w:szCs w:val="18"/>
              </w:rPr>
              <w:t xml:space="preserve">Systematic monitoring of persons</w:t>
            </w:r>
          </w:p>
        </w:tc>
        <w:tc>
          <w:tcPr>
            <w:tcW w:type="pct" w:w="8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[yes/no]</w:t>
            </w:r>
          </w:p>
        </w:tc>
        <w:tc>
          <w:tcPr>
            <w:tcW w:type="pct" w:w="1650"/>
            <w:tcMar>
              <w:top w:type="dxa" w:w="70"/>
              <w:left w:type="dxa" w:w="100"/>
              <w:bottom w:type="dxa" w:w="70"/>
              <w:right w:type="dxa" w:w="100"/>
            </w:tcMar>
          </w:tcPr>
          <w:p>
            <w:r>
              <w:rPr>
                <w:rFonts w:ascii="Arial" w:cs="Arial" w:eastAsia="Arial" w:hAnsi="Arial"/>
                <w:b w:val="false"/>
                <w:bCs w:val="false"/>
                <w:color w:val="14171A"/>
                <w:sz w:val="18"/>
                <w:szCs w:val="18"/>
              </w:rPr>
              <w:t xml:space="preserve">Not the purpose; see section 4 and the option to disable per-person reports</w:t>
            </w:r>
          </w:p>
        </w:tc>
      </w:tr>
      <w:tr>
        <w:tc>
          <w:tcPr>
            <w:tcW w:type="pct" w:w="2500"/>
            <w:tcMar>
              <w:top w:type="dxa" w:w="70"/>
              <w:left w:type="dxa" w:w="100"/>
              <w:bottom w:type="dxa" w:w="70"/>
              <w:right w:type="dxa" w:w="100"/>
            </w:tcMar>
          </w:tcPr>
          <w:p>
            <w:r>
              <w:rPr>
                <w:rFonts w:ascii="Arial" w:cs="Arial" w:eastAsia="Arial" w:hAnsi="Arial"/>
                <w:b w:val="false"/>
                <w:bCs w:val="false"/>
                <w:color w:val="14171A"/>
                <w:sz w:val="18"/>
                <w:szCs w:val="18"/>
              </w:rPr>
              <w:t xml:space="preserve">Large-scale processing</w:t>
            </w:r>
          </w:p>
        </w:tc>
        <w:tc>
          <w:tcPr>
            <w:tcW w:type="pct" w:w="8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[yes/no]</w:t>
            </w:r>
          </w:p>
        </w:tc>
        <w:tc>
          <w:tcPr>
            <w:tcW w:type="pct" w:w="1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[number of employees / sites]</w:t>
            </w:r>
          </w:p>
        </w:tc>
      </w:tr>
      <w:tr>
        <w:tc>
          <w:tcPr>
            <w:tcW w:type="pct" w:w="2500"/>
            <w:tcMar>
              <w:top w:type="dxa" w:w="70"/>
              <w:left w:type="dxa" w:w="100"/>
              <w:bottom w:type="dxa" w:w="70"/>
              <w:right w:type="dxa" w:w="100"/>
            </w:tcMar>
          </w:tcPr>
          <w:p>
            <w:r>
              <w:rPr>
                <w:rFonts w:ascii="Arial" w:cs="Arial" w:eastAsia="Arial" w:hAnsi="Arial"/>
                <w:b w:val="false"/>
                <w:bCs w:val="false"/>
                <w:color w:val="14171A"/>
                <w:sz w:val="18"/>
                <w:szCs w:val="18"/>
              </w:rPr>
              <w:t xml:space="preserve">Innovative technology</w:t>
            </w:r>
          </w:p>
        </w:tc>
        <w:tc>
          <w:tcPr>
            <w:tcW w:type="pct" w:w="850"/>
            <w:tcMar>
              <w:top w:type="dxa" w:w="70"/>
              <w:left w:type="dxa" w:w="100"/>
              <w:bottom w:type="dxa" w:w="70"/>
              <w:right w:type="dxa" w:w="100"/>
            </w:tcMar>
          </w:tcPr>
          <w:p>
            <w:r>
              <w:rPr>
                <w:rFonts w:ascii="Arial" w:cs="Arial" w:eastAsia="Arial" w:hAnsi="Arial"/>
                <w:b w:val="false"/>
                <w:bCs w:val="false"/>
                <w:color w:val="14171A"/>
                <w:sz w:val="18"/>
                <w:szCs w:val="18"/>
              </w:rPr>
              <w:t xml:space="preserve">no</w:t>
            </w:r>
          </w:p>
        </w:tc>
        <w:tc>
          <w:tcPr>
            <w:tcW w:type="pct" w:w="1650"/>
            <w:tcMar>
              <w:top w:type="dxa" w:w="70"/>
              <w:left w:type="dxa" w:w="100"/>
              <w:bottom w:type="dxa" w:w="70"/>
              <w:right w:type="dxa" w:w="100"/>
            </w:tcMar>
          </w:tcPr>
          <w:p>
            <w:r>
              <w:rPr>
                <w:rFonts w:ascii="Arial" w:cs="Arial" w:eastAsia="Arial" w:hAnsi="Arial"/>
                <w:b w:val="false"/>
                <w:bCs w:val="false"/>
                <w:color w:val="14171A"/>
                <w:sz w:val="18"/>
                <w:szCs w:val="18"/>
              </w:rPr>
              <w:t xml:space="preserve">Standard web application, no AI-based evaluation of persons</w:t>
            </w:r>
          </w:p>
        </w:tc>
      </w:tr>
      <w:tr>
        <w:tc>
          <w:tcPr>
            <w:tcW w:type="pct" w:w="2500"/>
            <w:tcMar>
              <w:top w:type="dxa" w:w="70"/>
              <w:left w:type="dxa" w:w="100"/>
              <w:bottom w:type="dxa" w:w="70"/>
              <w:right w:type="dxa" w:w="100"/>
            </w:tcMar>
          </w:tcPr>
          <w:p>
            <w:r>
              <w:rPr>
                <w:rFonts w:ascii="Arial" w:cs="Arial" w:eastAsia="Arial" w:hAnsi="Arial"/>
                <w:b w:val="false"/>
                <w:bCs w:val="false"/>
                <w:color w:val="14171A"/>
                <w:sz w:val="18"/>
                <w:szCs w:val="18"/>
              </w:rPr>
              <w:t xml:space="preserve">Matching or combining datasets</w:t>
            </w:r>
          </w:p>
        </w:tc>
        <w:tc>
          <w:tcPr>
            <w:tcW w:type="pct" w:w="8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[yes/no]</w:t>
            </w:r>
          </w:p>
        </w:tc>
        <w:tc>
          <w:tcPr>
            <w:tcW w:type="pct" w:w="1650"/>
            <w:tcMar>
              <w:top w:type="dxa" w:w="70"/>
              <w:left w:type="dxa" w:w="100"/>
              <w:bottom w:type="dxa" w:w="70"/>
              <w:right w:type="dxa" w:w="100"/>
            </w:tcMar>
          </w:tcPr>
          <w:p>
            <w:r>
              <w:rPr>
                <w:rFonts w:ascii="Arial" w:cs="Arial" w:eastAsia="Arial" w:hAnsi="Arial"/>
                <w:b w:val="false"/>
                <w:bCs w:val="false"/>
                <w:color w:val="14171A"/>
                <w:sz w:val="18"/>
                <w:szCs w:val="18"/>
              </w:rPr>
              <w:t xml:space="preserve">e.g. imports from HR systems</w:t>
            </w:r>
          </w:p>
        </w:tc>
      </w:tr>
    </w:tbl>
    <w:p>
      <w:pPr>
        <w:spacing w:after="100" w:before="0" w:line="20" w:lineRule="exact"/>
      </w:pPr>
      <w:r>
        <w:rPr>
          <w:sz w:val="2"/>
          <w:szCs w:val="2"/>
        </w:rPr>
        <w:t xml:space="preserve"/>
      </w:r>
    </w:p>
    <w:p>
      <w:pPr>
        <w:spacing w:after="140" w:line="300"/>
      </w:pPr>
      <w:r>
        <w:rPr>
          <w:rFonts w:ascii="Arial" w:cs="Arial" w:eastAsia="Arial" w:hAnsi="Arial"/>
          <w:color w:val="14171A"/>
          <w:sz w:val="21"/>
          <w:szCs w:val="21"/>
        </w:rPr>
        <w:t xml:space="preserve">Result: </w:t>
      </w:r>
      <w:r>
        <w:rPr>
          <w:rFonts w:ascii="Arial" w:cs="Arial" w:eastAsia="Arial" w:hAnsi="Arial"/>
          <w:color w:val="14171A"/>
          <w:sz w:val="21"/>
          <w:szCs w:val="21"/>
          <w:highlight w:val="yellow"/>
        </w:rPr>
        <w:t xml:space="preserve">[DPIA required / not required — reasoning]</w:t>
      </w:r>
    </w:p>
    <w:p>
      <w:pPr>
        <w:keepNext/>
        <w:spacing w:after="120" w:before="280"/>
      </w:pPr>
      <w:r>
        <w:rPr>
          <w:rFonts w:ascii="Arial" w:cs="Arial" w:eastAsia="Arial" w:hAnsi="Arial"/>
          <w:b/>
          <w:bCs/>
          <w:color w:val="14171A"/>
          <w:sz w:val="25"/>
          <w:szCs w:val="25"/>
        </w:rPr>
        <w:t xml:space="preserve">3. Systematic description of the processing</w:t>
      </w:r>
    </w:p>
    <w:p>
      <w:pPr>
        <w:spacing w:after="140" w:line="300"/>
      </w:pPr>
      <w:r>
        <w:rPr>
          <w:rFonts w:ascii="Arial" w:cs="Arial" w:eastAsia="Arial" w:hAnsi="Arial"/>
          <w:color w:val="14171A"/>
          <w:sz w:val="21"/>
          <w:szCs w:val="21"/>
        </w:rPr>
        <w:t xml:space="preserve">Purposes: fulfilling the employer's legal obligations in occupational health and safety and environmental protection (e.g. risk assessment, recording and investigation of accidents, periodic inspection of work equipment, documentation of training), and operating the management systems (ISO 45001, ISO 14001, ISO 9001).</w:t>
      </w:r>
    </w:p>
    <w:tbl>
      <w:tblPr>
        <w:tblW w:type="pct" w:w="5000"/>
        <w:tblBorders>
          <w:top w:val="single" w:color="C9CFD2" w:sz="4"/>
          <w:left w:val="single" w:color="C9CFD2" w:sz="4"/>
          <w:bottom w:val="single" w:color="C9CFD2" w:sz="4"/>
          <w:right w:val="single" w:color="C9CFD2" w:sz="4"/>
          <w:insideH w:val="single" w:color="C9CFD2" w:sz="4"/>
          <w:insideV w:val="single" w:color="C9CFD2" w:sz="4"/>
        </w:tblBorders>
      </w:tblPr>
      <w:tblGrid>
        <w:gridCol w:w="2069"/>
        <w:gridCol w:w="4515"/>
        <w:gridCol w:w="2822"/>
      </w:tblGrid>
      <w:tr>
        <w:trPr>
          <w:tblHeader/>
        </w:trPr>
        <w:tc>
          <w:tcPr>
            <w:tcW w:type="pct" w:w="11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Data subjects</w:t>
            </w:r>
          </w:p>
        </w:tc>
        <w:tc>
          <w:tcPr>
            <w:tcW w:type="pct" w:w="24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Data categories</w:t>
            </w:r>
          </w:p>
        </w:tc>
        <w:tc>
          <w:tcPr>
            <w:tcW w:type="pct" w:w="15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Where in EHS Axis</w:t>
            </w:r>
          </w:p>
        </w:tc>
      </w:tr>
      <w:tr>
        <w:tc>
          <w:tcPr>
            <w:tcW w:type="pct" w:w="1100"/>
            <w:tcMar>
              <w:top w:type="dxa" w:w="70"/>
              <w:left w:type="dxa" w:w="100"/>
              <w:bottom w:type="dxa" w:w="70"/>
              <w:right w:type="dxa" w:w="100"/>
            </w:tcMar>
          </w:tcPr>
          <w:p>
            <w:r>
              <w:rPr>
                <w:rFonts w:ascii="Arial" w:cs="Arial" w:eastAsia="Arial" w:hAnsi="Arial"/>
                <w:b w:val="false"/>
                <w:bCs w:val="false"/>
                <w:color w:val="14171A"/>
                <w:sz w:val="18"/>
                <w:szCs w:val="18"/>
              </w:rPr>
              <w:t xml:space="preserve">Users (employees with an account)</w:t>
            </w:r>
          </w:p>
        </w:tc>
        <w:tc>
          <w:tcPr>
            <w:tcW w:type="pct" w:w="2400"/>
            <w:tcMar>
              <w:top w:type="dxa" w:w="70"/>
              <w:left w:type="dxa" w:w="100"/>
              <w:bottom w:type="dxa" w:w="70"/>
              <w:right w:type="dxa" w:w="100"/>
            </w:tcMar>
          </w:tcPr>
          <w:p>
            <w:r>
              <w:rPr>
                <w:rFonts w:ascii="Arial" w:cs="Arial" w:eastAsia="Arial" w:hAnsi="Arial"/>
                <w:b w:val="false"/>
                <w:bCs w:val="false"/>
                <w:color w:val="14171A"/>
                <w:sz w:val="18"/>
                <w:szCs w:val="18"/>
              </w:rPr>
              <w:t xml:space="preserve">Name, business e-mail, phone, language, role, assigned responsibilities and deadlines, entries they create (non-conformities, actions, audits, risks, incidents, training records), event log (who changed what and when), date of last sign-in</w:t>
            </w:r>
          </w:p>
        </w:tc>
        <w:tc>
          <w:tcPr>
            <w:tcW w:type="pct" w:w="1500"/>
            <w:tcMar>
              <w:top w:type="dxa" w:w="70"/>
              <w:left w:type="dxa" w:w="100"/>
              <w:bottom w:type="dxa" w:w="70"/>
              <w:right w:type="dxa" w:w="100"/>
            </w:tcMar>
          </w:tcPr>
          <w:p>
            <w:r>
              <w:rPr>
                <w:rFonts w:ascii="Arial" w:cs="Arial" w:eastAsia="Arial" w:hAnsi="Arial"/>
                <w:b w:val="false"/>
                <w:bCs w:val="false"/>
                <w:color w:val="14171A"/>
                <w:sz w:val="18"/>
                <w:szCs w:val="18"/>
              </w:rPr>
              <w:t xml:space="preserve">All modules; Settings › Users</w:t>
            </w:r>
          </w:p>
        </w:tc>
      </w:tr>
      <w:tr>
        <w:tc>
          <w:tcPr>
            <w:tcW w:type="pct" w:w="1100"/>
            <w:tcMar>
              <w:top w:type="dxa" w:w="70"/>
              <w:left w:type="dxa" w:w="100"/>
              <w:bottom w:type="dxa" w:w="70"/>
              <w:right w:type="dxa" w:w="100"/>
            </w:tcMar>
          </w:tcPr>
          <w:p>
            <w:r>
              <w:rPr>
                <w:rFonts w:ascii="Arial" w:cs="Arial" w:eastAsia="Arial" w:hAnsi="Arial"/>
                <w:b w:val="false"/>
                <w:bCs w:val="false"/>
                <w:color w:val="14171A"/>
                <w:sz w:val="18"/>
                <w:szCs w:val="18"/>
              </w:rPr>
              <w:t xml:space="preserve">Employees without an account</w:t>
            </w:r>
          </w:p>
        </w:tc>
        <w:tc>
          <w:tcPr>
            <w:tcW w:type="pct" w:w="2400"/>
            <w:tcMar>
              <w:top w:type="dxa" w:w="70"/>
              <w:left w:type="dxa" w:w="100"/>
              <w:bottom w:type="dxa" w:w="70"/>
              <w:right w:type="dxa" w:w="100"/>
            </w:tcMar>
          </w:tcPr>
          <w:p>
            <w:r>
              <w:rPr>
                <w:rFonts w:ascii="Arial" w:cs="Arial" w:eastAsia="Arial" w:hAnsi="Arial"/>
                <w:b w:val="false"/>
                <w:bCs w:val="false"/>
                <w:color w:val="14171A"/>
                <w:sz w:val="18"/>
                <w:szCs w:val="18"/>
              </w:rPr>
              <w:t xml:space="preserve">Name, employee number, position, department, site, business e-mail (optional), notes, training records and certificates (date, validity, trainer, certificate number, files)</w:t>
            </w:r>
          </w:p>
        </w:tc>
        <w:tc>
          <w:tcPr>
            <w:tcW w:type="pct" w:w="1500"/>
            <w:tcMar>
              <w:top w:type="dxa" w:w="70"/>
              <w:left w:type="dxa" w:w="100"/>
              <w:bottom w:type="dxa" w:w="70"/>
              <w:right w:type="dxa" w:w="100"/>
            </w:tcMar>
          </w:tcPr>
          <w:p>
            <w:r>
              <w:rPr>
                <w:rFonts w:ascii="Arial" w:cs="Arial" w:eastAsia="Arial" w:hAnsi="Arial"/>
                <w:b w:val="false"/>
                <w:bCs w:val="false"/>
                <w:color w:val="14171A"/>
                <w:sz w:val="18"/>
                <w:szCs w:val="18"/>
              </w:rPr>
              <w:t xml:space="preserve">Training (training matrix)</w:t>
            </w:r>
          </w:p>
        </w:tc>
      </w:tr>
      <w:tr>
        <w:tc>
          <w:tcPr>
            <w:tcW w:type="pct" w:w="1100"/>
            <w:tcMar>
              <w:top w:type="dxa" w:w="70"/>
              <w:left w:type="dxa" w:w="100"/>
              <w:bottom w:type="dxa" w:w="70"/>
              <w:right w:type="dxa" w:w="100"/>
            </w:tcMar>
          </w:tcPr>
          <w:p>
            <w:r>
              <w:rPr>
                <w:rFonts w:ascii="Arial" w:cs="Arial" w:eastAsia="Arial" w:hAnsi="Arial"/>
                <w:b w:val="false"/>
                <w:bCs w:val="false"/>
                <w:color w:val="14171A"/>
                <w:sz w:val="18"/>
                <w:szCs w:val="18"/>
              </w:rPr>
              <w:t xml:space="preserve">Injured persons and persons involved in incidents</w:t>
            </w:r>
          </w:p>
        </w:tc>
        <w:tc>
          <w:tcPr>
            <w:tcW w:type="pct" w:w="2400"/>
            <w:tcMar>
              <w:top w:type="dxa" w:w="70"/>
              <w:left w:type="dxa" w:w="100"/>
              <w:bottom w:type="dxa" w:w="70"/>
              <w:right w:type="dxa" w:w="100"/>
            </w:tcMar>
          </w:tcPr>
          <w:p>
            <w:r>
              <w:rPr>
                <w:rFonts w:ascii="Arial" w:cs="Arial" w:eastAsia="Arial" w:hAnsi="Arial"/>
                <w:b w:val="false"/>
                <w:bCs w:val="false"/>
                <w:color w:val="14171A"/>
                <w:sz w:val="18"/>
                <w:szCs w:val="18"/>
              </w:rPr>
              <w:t xml:space="preserve">Name, link to the employee record, injury type, injured body part, severity, days of absence (health data, Art. 9 GDPR); description of the event, witnesses' statements if entered; optional personal details for the national accident report</w:t>
            </w:r>
          </w:p>
        </w:tc>
        <w:tc>
          <w:tcPr>
            <w:tcW w:type="pct" w:w="1500"/>
            <w:tcMar>
              <w:top w:type="dxa" w:w="70"/>
              <w:left w:type="dxa" w:w="100"/>
              <w:bottom w:type="dxa" w:w="70"/>
              <w:right w:type="dxa" w:w="100"/>
            </w:tcMar>
          </w:tcPr>
          <w:p>
            <w:r>
              <w:rPr>
                <w:rFonts w:ascii="Arial" w:cs="Arial" w:eastAsia="Arial" w:hAnsi="Arial"/>
                <w:b w:val="false"/>
                <w:bCs w:val="false"/>
                <w:color w:val="14171A"/>
                <w:sz w:val="18"/>
                <w:szCs w:val="18"/>
              </w:rPr>
              <w:t xml:space="preserve">Incidents</w:t>
            </w:r>
          </w:p>
        </w:tc>
      </w:tr>
      <w:tr>
        <w:tc>
          <w:tcPr>
            <w:tcW w:type="pct" w:w="1100"/>
            <w:tcMar>
              <w:top w:type="dxa" w:w="70"/>
              <w:left w:type="dxa" w:w="100"/>
              <w:bottom w:type="dxa" w:w="70"/>
              <w:right w:type="dxa" w:w="100"/>
            </w:tcMar>
          </w:tcPr>
          <w:p>
            <w:r>
              <w:rPr>
                <w:rFonts w:ascii="Arial" w:cs="Arial" w:eastAsia="Arial" w:hAnsi="Arial"/>
                <w:b w:val="false"/>
                <w:bCs w:val="false"/>
                <w:color w:val="14171A"/>
                <w:sz w:val="18"/>
                <w:szCs w:val="18"/>
              </w:rPr>
              <w:t xml:space="preserve">Persons visible in photos</w:t>
            </w:r>
          </w:p>
        </w:tc>
        <w:tc>
          <w:tcPr>
            <w:tcW w:type="pct" w:w="2400"/>
            <w:tcMar>
              <w:top w:type="dxa" w:w="70"/>
              <w:left w:type="dxa" w:w="100"/>
              <w:bottom w:type="dxa" w:w="70"/>
              <w:right w:type="dxa" w:w="100"/>
            </w:tcMar>
          </w:tcPr>
          <w:p>
            <w:r>
              <w:rPr>
                <w:rFonts w:ascii="Arial" w:cs="Arial" w:eastAsia="Arial" w:hAnsi="Arial"/>
                <w:b w:val="false"/>
                <w:bCs w:val="false"/>
                <w:color w:val="14171A"/>
                <w:sz w:val="18"/>
                <w:szCs w:val="18"/>
              </w:rPr>
              <w:t xml:space="preserve">Images uploaded as evidence (non-conformities, audits, incidents); metadata (EXIF, GPS) is removed on upload</w:t>
            </w:r>
          </w:p>
        </w:tc>
        <w:tc>
          <w:tcPr>
            <w:tcW w:type="pct" w:w="1500"/>
            <w:tcMar>
              <w:top w:type="dxa" w:w="70"/>
              <w:left w:type="dxa" w:w="100"/>
              <w:bottom w:type="dxa" w:w="70"/>
              <w:right w:type="dxa" w:w="100"/>
            </w:tcMar>
          </w:tcPr>
          <w:p>
            <w:r>
              <w:rPr>
                <w:rFonts w:ascii="Arial" w:cs="Arial" w:eastAsia="Arial" w:hAnsi="Arial"/>
                <w:b w:val="false"/>
                <w:bCs w:val="false"/>
                <w:color w:val="14171A"/>
                <w:sz w:val="18"/>
                <w:szCs w:val="18"/>
              </w:rPr>
              <w:t xml:space="preserve">Photos and attachments</w:t>
            </w:r>
          </w:p>
        </w:tc>
      </w:tr>
    </w:tbl>
    <w:p>
      <w:pPr>
        <w:spacing w:after="100" w:before="0" w:line="20" w:lineRule="exact"/>
      </w:pPr>
      <w:r>
        <w:rPr>
          <w:sz w:val="2"/>
          <w:szCs w:val="2"/>
        </w:rPr>
        <w:t xml:space="preserve"/>
      </w:r>
    </w:p>
    <w:p>
      <w:pPr>
        <w:spacing w:after="140" w:line="300"/>
      </w:pPr>
      <w:r>
        <w:rPr>
          <w:rFonts w:ascii="Arial" w:cs="Arial" w:eastAsia="Arial" w:hAnsi="Arial"/>
          <w:color w:val="14171A"/>
          <w:sz w:val="21"/>
          <w:szCs w:val="21"/>
        </w:rPr>
        <w:t xml:space="preserve">Recipients: within the company according to role (see section 6); the processor and its sub-processors only to provide the service. Export (Excel, PDF) by authorised users; </w:t>
      </w:r>
      <w:r>
        <w:rPr>
          <w:rFonts w:ascii="Arial" w:cs="Arial" w:eastAsia="Arial" w:hAnsi="Arial"/>
          <w:color w:val="14171A"/>
          <w:sz w:val="21"/>
          <w:szCs w:val="21"/>
          <w:highlight w:val="yellow"/>
        </w:rPr>
        <w:t xml:space="preserve">[further recipients, e.g. accident insurance institution, authorities, external safety specialist]</w:t>
      </w:r>
      <w:r>
        <w:rPr>
          <w:rFonts w:ascii="Arial" w:cs="Arial" w:eastAsia="Arial" w:hAnsi="Arial"/>
          <w:color w:val="14171A"/>
          <w:sz w:val="21"/>
          <w:szCs w:val="21"/>
        </w:rPr>
        <w:t xml:space="preserve">.</w:t>
      </w:r>
    </w:p>
    <w:p>
      <w:pPr>
        <w:spacing w:after="140" w:line="300"/>
      </w:pPr>
      <w:r>
        <w:rPr>
          <w:rFonts w:ascii="Arial" w:cs="Arial" w:eastAsia="Arial" w:hAnsi="Arial"/>
          <w:color w:val="14171A"/>
          <w:sz w:val="21"/>
          <w:szCs w:val="21"/>
        </w:rPr>
        <w:t xml:space="preserve">Storage: EU data centre (Czech Republic). Retention is controlled by the customer: entries can be deleted at any time; after the end of the subscription the data is read-only for 90 days and then deleted (removed from backups within a further 14 days). </w:t>
      </w:r>
      <w:r>
        <w:rPr>
          <w:rFonts w:ascii="Arial" w:cs="Arial" w:eastAsia="Arial" w:hAnsi="Arial"/>
          <w:color w:val="14171A"/>
          <w:sz w:val="21"/>
          <w:szCs w:val="21"/>
          <w:highlight w:val="yellow"/>
        </w:rPr>
        <w:t xml:space="preserve">[Internal retention periods, e.g. accident documentation: …]</w:t>
      </w:r>
    </w:p>
    <w:p>
      <w:pPr>
        <w:spacing w:after="140" w:line="300"/>
      </w:pPr>
      <w:r>
        <w:rPr>
          <w:rFonts w:ascii="Arial" w:cs="Arial" w:eastAsia="Arial" w:hAnsi="Arial"/>
          <w:color w:val="14171A"/>
          <w:sz w:val="21"/>
          <w:szCs w:val="21"/>
        </w:rPr>
        <w:t xml:space="preserve">Legal basis: </w:t>
      </w:r>
      <w:r>
        <w:rPr>
          <w:rFonts w:ascii="Arial" w:cs="Arial" w:eastAsia="Arial" w:hAnsi="Arial"/>
          <w:color w:val="14171A"/>
          <w:sz w:val="21"/>
          <w:szCs w:val="21"/>
          <w:highlight w:val="yellow"/>
        </w:rPr>
        <w:t xml:space="preserve">[Art. 6(1)(c) GDPR in conjunction with occupational safety law (e.g. §§ 5, 6 ArbSchG, § 193 SGB VII, § 12 ArbSchG); Art. 6(1)(b) and Art. 88 GDPR in conjunction with § 26 BDSG where applicable; for health data Art. 9(2)(b) GDPR in conjunction with § 26(3) BDSG; works agreement under Art. 88 GDPR if concluded — to be checked by the controller, as § 26(1) BDSG has to be applied in light of CJEU C-34/21]</w:t>
      </w:r>
      <w:r>
        <w:rPr>
          <w:rFonts w:ascii="Arial" w:cs="Arial" w:eastAsia="Arial" w:hAnsi="Arial"/>
          <w:color w:val="14171A"/>
          <w:sz w:val="21"/>
          <w:szCs w:val="21"/>
        </w:rPr>
        <w:t xml:space="preserve">.</w:t>
      </w:r>
    </w:p>
    <w:p>
      <w:pPr>
        <w:keepNext/>
        <w:spacing w:after="120" w:before="280"/>
      </w:pPr>
      <w:r>
        <w:rPr>
          <w:rFonts w:ascii="Arial" w:cs="Arial" w:eastAsia="Arial" w:hAnsi="Arial"/>
          <w:b/>
          <w:bCs/>
          <w:color w:val="14171A"/>
          <w:sz w:val="25"/>
          <w:szCs w:val="25"/>
        </w:rPr>
        <w:t xml:space="preserve">4. Necessity and proportionality</w:t>
      </w:r>
    </w:p>
    <w:p>
      <w:pPr>
        <w:pStyle w:val="ListParagraph"/>
        <w:numPr>
          <w:ilvl w:val="0"/>
          <w:numId w:val="2"/>
        </w:numPr>
        <w:spacing w:after="80" w:line="290"/>
      </w:pPr>
      <w:r>
        <w:rPr>
          <w:rFonts w:ascii="Arial" w:cs="Arial" w:eastAsia="Arial" w:hAnsi="Arial"/>
          <w:color w:val="14171A"/>
          <w:sz w:val="21"/>
          <w:szCs w:val="21"/>
        </w:rPr>
        <w:t xml:space="preserve">Purpose limitation: the data is used for occupational health, safety and environmental management only. Use for performance or behaviour monitoring of employees is </w:t>
      </w:r>
      <w:r>
        <w:rPr>
          <w:rFonts w:ascii="Arial" w:cs="Arial" w:eastAsia="Arial" w:hAnsi="Arial"/>
          <w:color w:val="14171A"/>
          <w:sz w:val="21"/>
          <w:szCs w:val="21"/>
          <w:highlight w:val="yellow"/>
        </w:rPr>
        <w:t xml:space="preserve">[excluded by internal policy / the works agreement]</w:t>
      </w:r>
      <w:r>
        <w:rPr>
          <w:rFonts w:ascii="Arial" w:cs="Arial" w:eastAsia="Arial" w:hAnsi="Arial"/>
          <w:color w:val="14171A"/>
          <w:sz w:val="21"/>
          <w:szCs w:val="21"/>
        </w:rPr>
        <w:t xml:space="preserve">.</w:t>
      </w:r>
    </w:p>
    <w:p>
      <w:pPr>
        <w:pStyle w:val="ListParagraph"/>
        <w:numPr>
          <w:ilvl w:val="0"/>
          <w:numId w:val="2"/>
        </w:numPr>
        <w:spacing w:after="80" w:line="290"/>
      </w:pPr>
      <w:r>
        <w:rPr>
          <w:rFonts w:ascii="Arial" w:cs="Arial" w:eastAsia="Arial" w:hAnsi="Arial"/>
          <w:color w:val="14171A"/>
          <w:sz w:val="21"/>
          <w:szCs w:val="21"/>
        </w:rPr>
        <w:t xml:space="preserve">Data minimisation: only the fields needed for the respective module are mandatory; free-text fields and photos are optional. The optional personal details for the national accident report are only filled in where legally required.</w:t>
      </w:r>
    </w:p>
    <w:p>
      <w:pPr>
        <w:pStyle w:val="ListParagraph"/>
        <w:numPr>
          <w:ilvl w:val="0"/>
          <w:numId w:val="2"/>
        </w:numPr>
        <w:spacing w:after="80" w:line="290"/>
      </w:pPr>
      <w:r>
        <w:rPr>
          <w:rFonts w:ascii="Arial" w:cs="Arial" w:eastAsia="Arial" w:hAnsi="Arial"/>
          <w:color w:val="14171A"/>
          <w:sz w:val="21"/>
          <w:szCs w:val="21"/>
        </w:rPr>
        <w:t xml:space="preserve">Per-person statistics in the reports (per responsible person and per reporter) can be switched off by the company owner (Settings › Data protection).</w:t>
      </w:r>
    </w:p>
    <w:p>
      <w:pPr>
        <w:pStyle w:val="ListParagraph"/>
        <w:numPr>
          <w:ilvl w:val="0"/>
          <w:numId w:val="2"/>
        </w:numPr>
        <w:spacing w:after="80" w:line="290"/>
      </w:pPr>
      <w:r>
        <w:rPr>
          <w:rFonts w:ascii="Arial" w:cs="Arial" w:eastAsia="Arial" w:hAnsi="Arial"/>
          <w:color w:val="14171A"/>
          <w:sz w:val="21"/>
          <w:szCs w:val="21"/>
        </w:rPr>
        <w:t xml:space="preserve">Transparency: employees are informed via </w:t>
      </w:r>
      <w:r>
        <w:rPr>
          <w:rFonts w:ascii="Arial" w:cs="Arial" w:eastAsia="Arial" w:hAnsi="Arial"/>
          <w:color w:val="14171A"/>
          <w:sz w:val="21"/>
          <w:szCs w:val="21"/>
          <w:highlight w:val="yellow"/>
        </w:rPr>
        <w:t xml:space="preserve">[privacy notice for employees, intranet, works council information]</w:t>
      </w:r>
      <w:r>
        <w:rPr>
          <w:rFonts w:ascii="Arial" w:cs="Arial" w:eastAsia="Arial" w:hAnsi="Arial"/>
          <w:color w:val="14171A"/>
          <w:sz w:val="21"/>
          <w:szCs w:val="21"/>
        </w:rPr>
        <w:t xml:space="preserve">.</w:t>
      </w:r>
    </w:p>
    <w:p>
      <w:pPr>
        <w:pStyle w:val="ListParagraph"/>
        <w:numPr>
          <w:ilvl w:val="0"/>
          <w:numId w:val="2"/>
        </w:numPr>
        <w:spacing w:after="80" w:line="290"/>
      </w:pPr>
      <w:r>
        <w:rPr>
          <w:rFonts w:ascii="Arial" w:cs="Arial" w:eastAsia="Arial" w:hAnsi="Arial"/>
          <w:color w:val="14171A"/>
          <w:sz w:val="21"/>
          <w:szCs w:val="21"/>
        </w:rPr>
        <w:t xml:space="preserve">Data subject rights: access and export via Excel/PDF and the full data export; correction and deletion by authorised users.</w:t>
      </w:r>
    </w:p>
    <w:p>
      <w:pPr>
        <w:keepNext/>
        <w:spacing w:after="120" w:before="280"/>
      </w:pPr>
      <w:r>
        <w:rPr>
          <w:rFonts w:ascii="Arial" w:cs="Arial" w:eastAsia="Arial" w:hAnsi="Arial"/>
          <w:b/>
          <w:bCs/>
          <w:color w:val="14171A"/>
          <w:sz w:val="25"/>
          <w:szCs w:val="25"/>
        </w:rPr>
        <w:t xml:space="preserve">5. Risks to the rights and freedoms of data subjects</w:t>
      </w:r>
    </w:p>
    <w:tbl>
      <w:tblPr>
        <w:tblW w:type="pct" w:w="5000"/>
        <w:tblBorders>
          <w:top w:val="single" w:color="C9CFD2" w:sz="4"/>
          <w:left w:val="single" w:color="C9CFD2" w:sz="4"/>
          <w:bottom w:val="single" w:color="C9CFD2" w:sz="4"/>
          <w:right w:val="single" w:color="C9CFD2" w:sz="4"/>
          <w:insideH w:val="single" w:color="C9CFD2" w:sz="4"/>
          <w:insideV w:val="single" w:color="C9CFD2" w:sz="4"/>
        </w:tblBorders>
      </w:tblPr>
      <w:tblGrid>
        <w:gridCol w:w="3762"/>
        <w:gridCol w:w="1223"/>
        <w:gridCol w:w="1223"/>
        <w:gridCol w:w="3198"/>
      </w:tblGrid>
      <w:tr>
        <w:trPr>
          <w:tblHeader/>
        </w:trPr>
        <w:tc>
          <w:tcPr>
            <w:tcW w:type="pct" w:w="20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Risk</w:t>
            </w:r>
          </w:p>
        </w:tc>
        <w:tc>
          <w:tcPr>
            <w:tcW w:type="pct" w:w="65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Likelihood</w:t>
            </w:r>
          </w:p>
        </w:tc>
        <w:tc>
          <w:tcPr>
            <w:tcW w:type="pct" w:w="65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Severity</w:t>
            </w:r>
          </w:p>
        </w:tc>
        <w:tc>
          <w:tcPr>
            <w:tcW w:type="pct" w:w="17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Measures (see section 6)</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rPr>
              <w:t xml:space="preserve">Unauthorised access to health data of injured persons</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[low/medium/high]</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1700"/>
            <w:tcMar>
              <w:top w:type="dxa" w:w="70"/>
              <w:left w:type="dxa" w:w="100"/>
              <w:bottom w:type="dxa" w:w="70"/>
              <w:right w:type="dxa" w:w="100"/>
            </w:tcMar>
          </w:tcPr>
          <w:p>
            <w:r>
              <w:rPr>
                <w:rFonts w:ascii="Arial" w:cs="Arial" w:eastAsia="Arial" w:hAnsi="Arial"/>
                <w:b w:val="false"/>
                <w:bCs w:val="false"/>
                <w:color w:val="14171A"/>
                <w:sz w:val="18"/>
                <w:szCs w:val="18"/>
              </w:rPr>
              <w:t xml:space="preserve">Restricted role access, 2FA, encryption in transit, logging</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rPr>
              <w:t xml:space="preserve">Misuse of activity data (event log, deadlines, per-person statistics) for performance or behaviour control</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1700"/>
            <w:tcMar>
              <w:top w:type="dxa" w:w="70"/>
              <w:left w:type="dxa" w:w="100"/>
              <w:bottom w:type="dxa" w:w="70"/>
              <w:right w:type="dxa" w:w="100"/>
            </w:tcMar>
          </w:tcPr>
          <w:p>
            <w:r>
              <w:rPr>
                <w:rFonts w:ascii="Arial" w:cs="Arial" w:eastAsia="Arial" w:hAnsi="Arial"/>
                <w:b w:val="false"/>
                <w:bCs w:val="false"/>
                <w:color w:val="14171A"/>
                <w:sz w:val="18"/>
                <w:szCs w:val="18"/>
              </w:rPr>
              <w:t xml:space="preserve">Purpose limitation, works agreement, per-person reports can be disabled, restricted roles</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rPr>
              <w:t xml:space="preserve">Disclosure of persons in photos</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1700"/>
            <w:tcMar>
              <w:top w:type="dxa" w:w="70"/>
              <w:left w:type="dxa" w:w="100"/>
              <w:bottom w:type="dxa" w:w="70"/>
              <w:right w:type="dxa" w:w="100"/>
            </w:tcMar>
          </w:tcPr>
          <w:p>
            <w:r>
              <w:rPr>
                <w:rFonts w:ascii="Arial" w:cs="Arial" w:eastAsia="Arial" w:hAnsi="Arial"/>
                <w:b w:val="false"/>
                <w:bCs w:val="false"/>
                <w:color w:val="14171A"/>
                <w:sz w:val="18"/>
                <w:szCs w:val="18"/>
              </w:rPr>
              <w:t xml:space="preserve">Instructions for photographers, metadata removal, access only for workspace members</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rPr>
              <w:t xml:space="preserve">Loss or unavailability of data</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1700"/>
            <w:tcMar>
              <w:top w:type="dxa" w:w="70"/>
              <w:left w:type="dxa" w:w="100"/>
              <w:bottom w:type="dxa" w:w="70"/>
              <w:right w:type="dxa" w:w="100"/>
            </w:tcMar>
          </w:tcPr>
          <w:p>
            <w:r>
              <w:rPr>
                <w:rFonts w:ascii="Arial" w:cs="Arial" w:eastAsia="Arial" w:hAnsi="Arial"/>
                <w:b w:val="false"/>
                <w:bCs w:val="false"/>
                <w:color w:val="14171A"/>
                <w:sz w:val="18"/>
                <w:szCs w:val="18"/>
              </w:rPr>
              <w:t xml:space="preserve">Daily backups, restore tests, RPO 24 h / RTO 1 business day</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rPr>
              <w:t xml:space="preserve">Access by the processor or its sub-processors beyond the instructions</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1700"/>
            <w:tcMar>
              <w:top w:type="dxa" w:w="70"/>
              <w:left w:type="dxa" w:w="100"/>
              <w:bottom w:type="dxa" w:w="70"/>
              <w:right w:type="dxa" w:w="100"/>
            </w:tcMar>
          </w:tcPr>
          <w:p>
            <w:r>
              <w:rPr>
                <w:rFonts w:ascii="Arial" w:cs="Arial" w:eastAsia="Arial" w:hAnsi="Arial"/>
                <w:b w:val="false"/>
                <w:bCs w:val="false"/>
                <w:color w:val="14171A"/>
                <w:sz w:val="18"/>
                <w:szCs w:val="18"/>
              </w:rPr>
              <w:t xml:space="preserve">DPA (Art. 28 GDPR), EU data centre, sub-processor list with 30-day prior notice</w:t>
            </w:r>
          </w:p>
        </w:tc>
      </w:tr>
      <w:tr>
        <w:tc>
          <w:tcPr>
            <w:tcW w:type="pct" w:w="200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[further risks]</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65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c>
          <w:tcPr>
            <w:tcW w:type="pct" w:w="1700"/>
            <w:tcMar>
              <w:top w:type="dxa" w:w="70"/>
              <w:left w:type="dxa" w:w="100"/>
              <w:bottom w:type="dxa" w:w="70"/>
              <w:right w:type="dxa" w:w="100"/>
            </w:tcMar>
          </w:tcPr>
          <w:p>
            <w:r>
              <w:rPr>
                <w:rFonts w:ascii="Arial" w:cs="Arial" w:eastAsia="Arial" w:hAnsi="Arial"/>
                <w:b w:val="false"/>
                <w:bCs w:val="false"/>
                <w:color w:val="14171A"/>
                <w:sz w:val="18"/>
                <w:szCs w:val="18"/>
                <w:highlight w:val="yellow"/>
              </w:rPr>
              <w:t xml:space="preserve">[…]</w:t>
            </w:r>
          </w:p>
        </w:tc>
      </w:tr>
    </w:tbl>
    <w:p>
      <w:pPr>
        <w:spacing w:after="100" w:before="0" w:line="20" w:lineRule="exact"/>
      </w:pPr>
      <w:r>
        <w:rPr>
          <w:sz w:val="2"/>
          <w:szCs w:val="2"/>
        </w:rPr>
        <w:t xml:space="preserve"/>
      </w:r>
    </w:p>
    <w:p>
      <w:pPr>
        <w:keepNext/>
        <w:spacing w:after="120" w:before="280"/>
      </w:pPr>
      <w:r>
        <w:rPr>
          <w:rFonts w:ascii="Arial" w:cs="Arial" w:eastAsia="Arial" w:hAnsi="Arial"/>
          <w:b/>
          <w:bCs/>
          <w:color w:val="14171A"/>
          <w:sz w:val="25"/>
          <w:szCs w:val="25"/>
        </w:rPr>
        <w:t xml:space="preserve">6. Technical and organisational measures</w:t>
      </w:r>
    </w:p>
    <w:p>
      <w:pPr>
        <w:spacing w:after="140" w:line="300"/>
      </w:pPr>
      <w:r>
        <w:rPr>
          <w:rFonts w:ascii="Arial" w:cs="Arial" w:eastAsia="Arial" w:hAnsi="Arial"/>
          <w:color w:val="14171A"/>
          <w:sz w:val="21"/>
          <w:szCs w:val="21"/>
        </w:rPr>
        <w:t xml:space="preserve">Measures implemented by the processor (Annex 2 of the DPA):</w:t>
      </w:r>
    </w:p>
    <w:p>
      <w:pPr>
        <w:pStyle w:val="ListParagraph"/>
        <w:numPr>
          <w:ilvl w:val="0"/>
          <w:numId w:val="2"/>
        </w:numPr>
        <w:spacing w:after="80" w:line="290"/>
      </w:pPr>
      <w:r>
        <w:rPr>
          <w:rFonts w:ascii="Arial" w:cs="Arial" w:eastAsia="Arial" w:hAnsi="Arial"/>
          <w:color w:val="14171A"/>
          <w:sz w:val="21"/>
          <w:szCs w:val="21"/>
        </w:rPr>
        <w:t xml:space="preserve">Encryption in transit (TLS 1.2/1.3, HSTS); passwords as salted one-way hashes (bcrypt); two-factor authentication secrets encrypted (AES-256-GCM).</w:t>
      </w:r>
    </w:p>
    <w:p>
      <w:pPr>
        <w:pStyle w:val="ListParagraph"/>
        <w:numPr>
          <w:ilvl w:val="0"/>
          <w:numId w:val="2"/>
        </w:numPr>
        <w:spacing w:after="80" w:line="290"/>
      </w:pPr>
      <w:r>
        <w:rPr>
          <w:rFonts w:ascii="Arial" w:cs="Arial" w:eastAsia="Arial" w:hAnsi="Arial"/>
          <w:color w:val="14171A"/>
          <w:sz w:val="21"/>
          <w:szCs w:val="21"/>
        </w:rPr>
        <w:t xml:space="preserve">Role-based access (owner, administrator, approver, responsible, reporter, viewer); health data in incident records visible only to administrators and the designated investigator.</w:t>
      </w:r>
    </w:p>
    <w:p>
      <w:pPr>
        <w:pStyle w:val="ListParagraph"/>
        <w:numPr>
          <w:ilvl w:val="0"/>
          <w:numId w:val="2"/>
        </w:numPr>
        <w:spacing w:after="80" w:line="290"/>
      </w:pPr>
      <w:r>
        <w:rPr>
          <w:rFonts w:ascii="Arial" w:cs="Arial" w:eastAsia="Arial" w:hAnsi="Arial"/>
          <w:color w:val="14171A"/>
          <w:sz w:val="21"/>
          <w:szCs w:val="21"/>
        </w:rPr>
        <w:t xml:space="preserve">Two-factor authentication, which the customer can make mandatory for administrators or all users; sign-in attempt limiting; all other sessions are revoked when a password changes.</w:t>
      </w:r>
    </w:p>
    <w:p>
      <w:pPr>
        <w:pStyle w:val="ListParagraph"/>
        <w:numPr>
          <w:ilvl w:val="0"/>
          <w:numId w:val="2"/>
        </w:numPr>
        <w:spacing w:after="80" w:line="290"/>
      </w:pPr>
      <w:r>
        <w:rPr>
          <w:rFonts w:ascii="Arial" w:cs="Arial" w:eastAsia="Arial" w:hAnsi="Arial"/>
          <w:color w:val="14171A"/>
          <w:sz w:val="21"/>
          <w:szCs w:val="21"/>
        </w:rPr>
        <w:t xml:space="preserve">Logical separation of customer workspaces in every query, verified by automated tests before each release.</w:t>
      </w:r>
    </w:p>
    <w:p>
      <w:pPr>
        <w:pStyle w:val="ListParagraph"/>
        <w:numPr>
          <w:ilvl w:val="0"/>
          <w:numId w:val="2"/>
        </w:numPr>
        <w:spacing w:after="80" w:line="290"/>
      </w:pPr>
      <w:r>
        <w:rPr>
          <w:rFonts w:ascii="Arial" w:cs="Arial" w:eastAsia="Arial" w:hAnsi="Arial"/>
          <w:color w:val="14171A"/>
          <w:sz w:val="21"/>
          <w:szCs w:val="21"/>
        </w:rPr>
        <w:t xml:space="preserve">File type checked by content; files downloadable only by members of the workspace; photo metadata (EXIF, GPS) removed.</w:t>
      </w:r>
    </w:p>
    <w:p>
      <w:pPr>
        <w:pStyle w:val="ListParagraph"/>
        <w:numPr>
          <w:ilvl w:val="0"/>
          <w:numId w:val="2"/>
        </w:numPr>
        <w:spacing w:after="80" w:line="290"/>
      </w:pPr>
      <w:r>
        <w:rPr>
          <w:rFonts w:ascii="Arial" w:cs="Arial" w:eastAsia="Arial" w:hAnsi="Arial"/>
          <w:color w:val="14171A"/>
          <w:sz w:val="21"/>
          <w:szCs w:val="21"/>
        </w:rPr>
        <w:t xml:space="preserve">Daily backups of database and files, kept 14 days and copied daily to a separate server; weekly automated restore test; recovery objectives RPO 24 hours, RTO 1 business day.</w:t>
      </w:r>
    </w:p>
    <w:p>
      <w:pPr>
        <w:pStyle w:val="ListParagraph"/>
        <w:numPr>
          <w:ilvl w:val="0"/>
          <w:numId w:val="2"/>
        </w:numPr>
        <w:spacing w:after="80" w:line="290"/>
      </w:pPr>
      <w:r>
        <w:rPr>
          <w:rFonts w:ascii="Arial" w:cs="Arial" w:eastAsia="Arial" w:hAnsi="Arial"/>
          <w:color w:val="14171A"/>
          <w:sz w:val="21"/>
          <w:szCs w:val="21"/>
        </w:rPr>
        <w:t xml:space="preserve">Availability monitoring every 5 minutes with alerting; server and application logs kept 30 days.</w:t>
      </w:r>
    </w:p>
    <w:p>
      <w:pPr>
        <w:pStyle w:val="ListParagraph"/>
        <w:numPr>
          <w:ilvl w:val="0"/>
          <w:numId w:val="2"/>
        </w:numPr>
        <w:spacing w:after="80" w:line="290"/>
      </w:pPr>
      <w:r>
        <w:rPr>
          <w:rFonts w:ascii="Arial" w:cs="Arial" w:eastAsia="Arial" w:hAnsi="Arial"/>
          <w:color w:val="14171A"/>
          <w:sz w:val="21"/>
          <w:szCs w:val="21"/>
        </w:rPr>
        <w:t xml:space="preserve">Data centre in the EU (Czech Republic); breach notification to the customer within 48 hours.</w:t>
      </w:r>
    </w:p>
    <w:p>
      <w:pPr>
        <w:spacing w:after="140" w:line="300"/>
      </w:pPr>
      <w:r>
        <w:rPr>
          <w:rFonts w:ascii="Arial" w:cs="Arial" w:eastAsia="Arial" w:hAnsi="Arial"/>
          <w:color w:val="14171A"/>
          <w:sz w:val="21"/>
          <w:szCs w:val="21"/>
        </w:rPr>
        <w:t xml:space="preserve">Measures implemented by the controller: </w:t>
      </w:r>
      <w:r>
        <w:rPr>
          <w:rFonts w:ascii="Arial" w:cs="Arial" w:eastAsia="Arial" w:hAnsi="Arial"/>
          <w:color w:val="14171A"/>
          <w:sz w:val="21"/>
          <w:szCs w:val="21"/>
          <w:highlight w:val="yellow"/>
        </w:rPr>
        <w:t xml:space="preserve">[role concept and assignment, mandatory 2FA, internal instructions, training of users, deletion concept, procedure for data subject requests, involvement of the works council …]</w:t>
      </w:r>
    </w:p>
    <w:p>
      <w:pPr>
        <w:spacing w:after="140" w:line="300"/>
      </w:pPr>
      <w:r>
        <w:rPr>
          <w:rFonts w:ascii="Arial" w:cs="Arial" w:eastAsia="Arial" w:hAnsi="Arial"/>
          <w:color w:val="14171A"/>
          <w:sz w:val="21"/>
          <w:szCs w:val="21"/>
        </w:rPr>
        <w:t xml:space="preserve">Sub-processors (Annex 1 of the DPA):</w:t>
      </w:r>
    </w:p>
    <w:tbl>
      <w:tblPr>
        <w:tblW w:type="pct" w:w="5000"/>
        <w:tblBorders>
          <w:top w:val="single" w:color="C9CFD2" w:sz="4"/>
          <w:left w:val="single" w:color="C9CFD2" w:sz="4"/>
          <w:bottom w:val="single" w:color="C9CFD2" w:sz="4"/>
          <w:right w:val="single" w:color="C9CFD2" w:sz="4"/>
          <w:insideH w:val="single" w:color="C9CFD2" w:sz="4"/>
          <w:insideV w:val="single" w:color="C9CFD2" w:sz="4"/>
        </w:tblBorders>
      </w:tblPr>
      <w:tblGrid>
        <w:gridCol w:w="3010"/>
        <w:gridCol w:w="4139"/>
        <w:gridCol w:w="2257"/>
      </w:tblGrid>
      <w:tr>
        <w:trPr>
          <w:tblHeader/>
        </w:trPr>
        <w:tc>
          <w:tcPr>
            <w:tcW w:type="pct" w:w="16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Sub-processor</w:t>
            </w:r>
          </w:p>
        </w:tc>
        <w:tc>
          <w:tcPr>
            <w:tcW w:type="pct" w:w="22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Activity</w:t>
            </w:r>
          </w:p>
        </w:tc>
        <w:tc>
          <w:tcPr>
            <w:tcW w:type="pct" w:w="1200"/>
            <w:shd w:fill="E9ECEA" w:color="auto" w:val="clear"/>
            <w:tcMar>
              <w:top w:type="dxa" w:w="70"/>
              <w:left w:type="dxa" w:w="100"/>
              <w:bottom w:type="dxa" w:w="70"/>
              <w:right w:type="dxa" w:w="100"/>
            </w:tcMar>
          </w:tcPr>
          <w:p>
            <w:r>
              <w:rPr>
                <w:rFonts w:ascii="Arial" w:cs="Arial" w:eastAsia="Arial" w:hAnsi="Arial"/>
                <w:b/>
                <w:bCs/>
                <w:color w:val="14171A"/>
                <w:sz w:val="18"/>
                <w:szCs w:val="18"/>
              </w:rPr>
              <w:t xml:space="preserve">Data location</w:t>
            </w:r>
          </w:p>
        </w:tc>
      </w:tr>
      <w:tr>
        <w:tc>
          <w:tcPr>
            <w:tcW w:type="pct" w:w="1600"/>
            <w:tcMar>
              <w:top w:type="dxa" w:w="70"/>
              <w:left w:type="dxa" w:w="100"/>
              <w:bottom w:type="dxa" w:w="70"/>
              <w:right w:type="dxa" w:w="100"/>
            </w:tcMar>
          </w:tcPr>
          <w:p>
            <w:r>
              <w:rPr>
                <w:rFonts w:ascii="Arial" w:cs="Arial" w:eastAsia="Arial" w:hAnsi="Arial"/>
                <w:b w:val="false"/>
                <w:bCs w:val="false"/>
                <w:color w:val="14171A"/>
                <w:sz w:val="18"/>
                <w:szCs w:val="18"/>
              </w:rPr>
              <w:t xml:space="preserve">Aruba Cloud (Aruba S.p.A., EU), Forpsi</w:t>
            </w:r>
          </w:p>
        </w:tc>
        <w:tc>
          <w:tcPr>
            <w:tcW w:type="pct" w:w="2200"/>
            <w:tcMar>
              <w:top w:type="dxa" w:w="70"/>
              <w:left w:type="dxa" w:w="100"/>
              <w:bottom w:type="dxa" w:w="70"/>
              <w:right w:type="dxa" w:w="100"/>
            </w:tcMar>
          </w:tcPr>
          <w:p>
            <w:r>
              <w:rPr>
                <w:rFonts w:ascii="Arial" w:cs="Arial" w:eastAsia="Arial" w:hAnsi="Arial"/>
                <w:b w:val="false"/>
                <w:bCs w:val="false"/>
                <w:color w:val="14171A"/>
                <w:sz w:val="18"/>
                <w:szCs w:val="18"/>
              </w:rPr>
              <w:t xml:space="preserve">Hosting, database, uploaded files, backups</w:t>
            </w:r>
          </w:p>
        </w:tc>
        <w:tc>
          <w:tcPr>
            <w:tcW w:type="pct" w:w="1200"/>
            <w:tcMar>
              <w:top w:type="dxa" w:w="70"/>
              <w:left w:type="dxa" w:w="100"/>
              <w:bottom w:type="dxa" w:w="70"/>
              <w:right w:type="dxa" w:w="100"/>
            </w:tcMar>
          </w:tcPr>
          <w:p>
            <w:r>
              <w:rPr>
                <w:rFonts w:ascii="Arial" w:cs="Arial" w:eastAsia="Arial" w:hAnsi="Arial"/>
                <w:b w:val="false"/>
                <w:bCs w:val="false"/>
                <w:color w:val="14171A"/>
                <w:sz w:val="18"/>
                <w:szCs w:val="18"/>
              </w:rPr>
              <w:t xml:space="preserve">EU (Czech Republic)</w:t>
            </w:r>
          </w:p>
        </w:tc>
      </w:tr>
      <w:tr>
        <w:tc>
          <w:tcPr>
            <w:tcW w:type="pct" w:w="1600"/>
            <w:tcMar>
              <w:top w:type="dxa" w:w="70"/>
              <w:left w:type="dxa" w:w="100"/>
              <w:bottom w:type="dxa" w:w="70"/>
              <w:right w:type="dxa" w:w="100"/>
            </w:tcMar>
          </w:tcPr>
          <w:p>
            <w:r>
              <w:rPr>
                <w:rFonts w:ascii="Arial" w:cs="Arial" w:eastAsia="Arial" w:hAnsi="Arial"/>
                <w:b w:val="false"/>
                <w:bCs w:val="false"/>
                <w:color w:val="14171A"/>
                <w:sz w:val="18"/>
                <w:szCs w:val="18"/>
              </w:rPr>
              <w:t xml:space="preserve">Forpsi</w:t>
            </w:r>
          </w:p>
        </w:tc>
        <w:tc>
          <w:tcPr>
            <w:tcW w:type="pct" w:w="2200"/>
            <w:tcMar>
              <w:top w:type="dxa" w:w="70"/>
              <w:left w:type="dxa" w:w="100"/>
              <w:bottom w:type="dxa" w:w="70"/>
              <w:right w:type="dxa" w:w="100"/>
            </w:tcMar>
          </w:tcPr>
          <w:p>
            <w:r>
              <w:rPr>
                <w:rFonts w:ascii="Arial" w:cs="Arial" w:eastAsia="Arial" w:hAnsi="Arial"/>
                <w:b w:val="false"/>
                <w:bCs w:val="false"/>
                <w:color w:val="14171A"/>
                <w:sz w:val="18"/>
                <w:szCs w:val="18"/>
              </w:rPr>
              <w:t xml:space="preserve">Delivery of system e-mails and notifications</w:t>
            </w:r>
          </w:p>
        </w:tc>
        <w:tc>
          <w:tcPr>
            <w:tcW w:type="pct" w:w="1200"/>
            <w:tcMar>
              <w:top w:type="dxa" w:w="70"/>
              <w:left w:type="dxa" w:w="100"/>
              <w:bottom w:type="dxa" w:w="70"/>
              <w:right w:type="dxa" w:w="100"/>
            </w:tcMar>
          </w:tcPr>
          <w:p>
            <w:r>
              <w:rPr>
                <w:rFonts w:ascii="Arial" w:cs="Arial" w:eastAsia="Arial" w:hAnsi="Arial"/>
                <w:b w:val="false"/>
                <w:bCs w:val="false"/>
                <w:color w:val="14171A"/>
                <w:sz w:val="18"/>
                <w:szCs w:val="18"/>
              </w:rPr>
              <w:t xml:space="preserve">EU</w:t>
            </w:r>
          </w:p>
        </w:tc>
      </w:tr>
      <w:tr>
        <w:tc>
          <w:tcPr>
            <w:tcW w:type="pct" w:w="1600"/>
            <w:tcMar>
              <w:top w:type="dxa" w:w="70"/>
              <w:left w:type="dxa" w:w="100"/>
              <w:bottom w:type="dxa" w:w="70"/>
              <w:right w:type="dxa" w:w="100"/>
            </w:tcMar>
          </w:tcPr>
          <w:p>
            <w:r>
              <w:rPr>
                <w:rFonts w:ascii="Arial" w:cs="Arial" w:eastAsia="Arial" w:hAnsi="Arial"/>
                <w:b w:val="false"/>
                <w:bCs w:val="false"/>
                <w:color w:val="14171A"/>
                <w:sz w:val="18"/>
                <w:szCs w:val="18"/>
              </w:rPr>
              <w:t xml:space="preserve">Stripe Payments Europe Ltd. (Ireland)</w:t>
            </w:r>
          </w:p>
        </w:tc>
        <w:tc>
          <w:tcPr>
            <w:tcW w:type="pct" w:w="2200"/>
            <w:tcMar>
              <w:top w:type="dxa" w:w="70"/>
              <w:left w:type="dxa" w:w="100"/>
              <w:bottom w:type="dxa" w:w="70"/>
              <w:right w:type="dxa" w:w="100"/>
            </w:tcMar>
          </w:tcPr>
          <w:p>
            <w:r>
              <w:rPr>
                <w:rFonts w:ascii="Arial" w:cs="Arial" w:eastAsia="Arial" w:hAnsi="Arial"/>
                <w:b w:val="false"/>
                <w:bCs w:val="false"/>
                <w:color w:val="14171A"/>
                <w:sz w:val="18"/>
                <w:szCs w:val="18"/>
              </w:rPr>
              <w:t xml:space="preserve">Online card payment; billing contact data only — no workspace data</w:t>
            </w:r>
          </w:p>
        </w:tc>
        <w:tc>
          <w:tcPr>
            <w:tcW w:type="pct" w:w="1200"/>
            <w:tcMar>
              <w:top w:type="dxa" w:w="70"/>
              <w:left w:type="dxa" w:w="100"/>
              <w:bottom w:type="dxa" w:w="70"/>
              <w:right w:type="dxa" w:w="100"/>
            </w:tcMar>
          </w:tcPr>
          <w:p>
            <w:r>
              <w:rPr>
                <w:rFonts w:ascii="Arial" w:cs="Arial" w:eastAsia="Arial" w:hAnsi="Arial"/>
                <w:b w:val="false"/>
                <w:bCs w:val="false"/>
                <w:color w:val="14171A"/>
                <w:sz w:val="18"/>
                <w:szCs w:val="18"/>
              </w:rPr>
              <w:t xml:space="preserve">EU (transfers to the USA within the Stripe group under DPF/SCC)</w:t>
            </w:r>
          </w:p>
        </w:tc>
      </w:tr>
      <w:tr>
        <w:tc>
          <w:tcPr>
            <w:tcW w:type="pct" w:w="1600"/>
            <w:tcMar>
              <w:top w:type="dxa" w:w="70"/>
              <w:left w:type="dxa" w:w="100"/>
              <w:bottom w:type="dxa" w:w="70"/>
              <w:right w:type="dxa" w:w="100"/>
            </w:tcMar>
          </w:tcPr>
          <w:p>
            <w:r>
              <w:rPr>
                <w:rFonts w:ascii="Arial" w:cs="Arial" w:eastAsia="Arial" w:hAnsi="Arial"/>
                <w:b w:val="false"/>
                <w:bCs w:val="false"/>
                <w:color w:val="14171A"/>
                <w:sz w:val="18"/>
                <w:szCs w:val="18"/>
              </w:rPr>
              <w:t xml:space="preserve">KBOSS.hu Kft. – Számlázz.hu (Hungary)</w:t>
            </w:r>
          </w:p>
        </w:tc>
        <w:tc>
          <w:tcPr>
            <w:tcW w:type="pct" w:w="2200"/>
            <w:tcMar>
              <w:top w:type="dxa" w:w="70"/>
              <w:left w:type="dxa" w:w="100"/>
              <w:bottom w:type="dxa" w:w="70"/>
              <w:right w:type="dxa" w:w="100"/>
            </w:tcMar>
          </w:tcPr>
          <w:p>
            <w:r>
              <w:rPr>
                <w:rFonts w:ascii="Arial" w:cs="Arial" w:eastAsia="Arial" w:hAnsi="Arial"/>
                <w:b w:val="false"/>
                <w:bCs w:val="false"/>
                <w:color w:val="14171A"/>
                <w:sz w:val="18"/>
                <w:szCs w:val="18"/>
              </w:rPr>
              <w:t xml:space="preserve">Invoicing; billing data only</w:t>
            </w:r>
          </w:p>
        </w:tc>
        <w:tc>
          <w:tcPr>
            <w:tcW w:type="pct" w:w="1200"/>
            <w:tcMar>
              <w:top w:type="dxa" w:w="70"/>
              <w:left w:type="dxa" w:w="100"/>
              <w:bottom w:type="dxa" w:w="70"/>
              <w:right w:type="dxa" w:w="100"/>
            </w:tcMar>
          </w:tcPr>
          <w:p>
            <w:r>
              <w:rPr>
                <w:rFonts w:ascii="Arial" w:cs="Arial" w:eastAsia="Arial" w:hAnsi="Arial"/>
                <w:b w:val="false"/>
                <w:bCs w:val="false"/>
                <w:color w:val="14171A"/>
                <w:sz w:val="18"/>
                <w:szCs w:val="18"/>
              </w:rPr>
              <w:t xml:space="preserve">EU</w:t>
            </w:r>
          </w:p>
        </w:tc>
      </w:tr>
      <w:tr>
        <w:tc>
          <w:tcPr>
            <w:tcW w:type="pct" w:w="1600"/>
            <w:tcMar>
              <w:top w:type="dxa" w:w="70"/>
              <w:left w:type="dxa" w:w="100"/>
              <w:bottom w:type="dxa" w:w="70"/>
              <w:right w:type="dxa" w:w="100"/>
            </w:tcMar>
          </w:tcPr>
          <w:p>
            <w:r>
              <w:rPr>
                <w:rFonts w:ascii="Arial" w:cs="Arial" w:eastAsia="Arial" w:hAnsi="Arial"/>
                <w:b w:val="false"/>
                <w:bCs w:val="false"/>
                <w:color w:val="14171A"/>
                <w:sz w:val="18"/>
                <w:szCs w:val="18"/>
              </w:rPr>
              <w:t xml:space="preserve">Cloudflare, Inc. – Turnstile</w:t>
            </w:r>
          </w:p>
        </w:tc>
        <w:tc>
          <w:tcPr>
            <w:tcW w:type="pct" w:w="2200"/>
            <w:tcMar>
              <w:top w:type="dxa" w:w="70"/>
              <w:left w:type="dxa" w:w="100"/>
              <w:bottom w:type="dxa" w:w="70"/>
              <w:right w:type="dxa" w:w="100"/>
            </w:tcMar>
          </w:tcPr>
          <w:p>
            <w:r>
              <w:rPr>
                <w:rFonts w:ascii="Arial" w:cs="Arial" w:eastAsia="Arial" w:hAnsi="Arial"/>
                <w:b w:val="false"/>
                <w:bCs w:val="false"/>
                <w:color w:val="14171A"/>
                <w:sz w:val="18"/>
                <w:szCs w:val="18"/>
              </w:rPr>
              <w:t xml:space="preserve">Bot protection on public forms (IP address, technical browser data); no access to workspace data</w:t>
            </w:r>
          </w:p>
        </w:tc>
        <w:tc>
          <w:tcPr>
            <w:tcW w:type="pct" w:w="1200"/>
            <w:tcMar>
              <w:top w:type="dxa" w:w="70"/>
              <w:left w:type="dxa" w:w="100"/>
              <w:bottom w:type="dxa" w:w="70"/>
              <w:right w:type="dxa" w:w="100"/>
            </w:tcMar>
          </w:tcPr>
          <w:p>
            <w:r>
              <w:rPr>
                <w:rFonts w:ascii="Arial" w:cs="Arial" w:eastAsia="Arial" w:hAnsi="Arial"/>
                <w:b w:val="false"/>
                <w:bCs w:val="false"/>
                <w:color w:val="14171A"/>
                <w:sz w:val="18"/>
                <w:szCs w:val="18"/>
              </w:rPr>
              <w:t xml:space="preserve">USA / global (DPF, SCC)</w:t>
            </w:r>
          </w:p>
        </w:tc>
      </w:tr>
    </w:tbl>
    <w:p>
      <w:pPr>
        <w:spacing w:after="100" w:before="0" w:line="20" w:lineRule="exact"/>
      </w:pPr>
      <w:r>
        <w:rPr>
          <w:sz w:val="2"/>
          <w:szCs w:val="2"/>
        </w:rPr>
        <w:t xml:space="preserve"/>
      </w:r>
    </w:p>
    <w:p>
      <w:pPr>
        <w:keepNext/>
        <w:spacing w:after="120" w:before="280"/>
      </w:pPr>
      <w:r>
        <w:rPr>
          <w:rFonts w:ascii="Arial" w:cs="Arial" w:eastAsia="Arial" w:hAnsi="Arial"/>
          <w:b/>
          <w:bCs/>
          <w:color w:val="14171A"/>
          <w:sz w:val="25"/>
          <w:szCs w:val="25"/>
        </w:rPr>
        <w:t xml:space="preserve">7. Residual risk and result</w:t>
      </w:r>
    </w:p>
    <w:p>
      <w:pPr>
        <w:spacing w:after="140" w:line="300"/>
      </w:pPr>
      <w:r>
        <w:rPr>
          <w:rFonts w:ascii="Arial" w:cs="Arial" w:eastAsia="Arial" w:hAnsi="Arial"/>
          <w:color w:val="14171A"/>
          <w:sz w:val="21"/>
          <w:szCs w:val="21"/>
        </w:rPr>
        <w:t xml:space="preserve">Assessment of the residual risk after the measures: </w:t>
      </w:r>
      <w:r>
        <w:rPr>
          <w:rFonts w:ascii="Arial" w:cs="Arial" w:eastAsia="Arial" w:hAnsi="Arial"/>
          <w:color w:val="14171A"/>
          <w:sz w:val="21"/>
          <w:szCs w:val="21"/>
          <w:highlight w:val="yellow"/>
        </w:rPr>
        <w:t xml:space="preserve">[low / acceptable / high]</w:t>
      </w:r>
    </w:p>
    <w:p>
      <w:pPr>
        <w:spacing w:after="140" w:line="300"/>
      </w:pPr>
      <w:r>
        <w:rPr>
          <w:rFonts w:ascii="Arial" w:cs="Arial" w:eastAsia="Arial" w:hAnsi="Arial"/>
          <w:color w:val="14171A"/>
          <w:sz w:val="21"/>
          <w:szCs w:val="21"/>
        </w:rPr>
        <w:t xml:space="preserve">Consultation of the supervisory authority required (Art. 36 GDPR): </w:t>
      </w:r>
      <w:r>
        <w:rPr>
          <w:rFonts w:ascii="Arial" w:cs="Arial" w:eastAsia="Arial" w:hAnsi="Arial"/>
          <w:color w:val="14171A"/>
          <w:sz w:val="21"/>
          <w:szCs w:val="21"/>
          <w:highlight w:val="yellow"/>
        </w:rPr>
        <w:t xml:space="preserve">[yes/no]</w:t>
      </w:r>
    </w:p>
    <w:p>
      <w:pPr>
        <w:spacing w:after="140" w:line="300"/>
      </w:pPr>
      <w:r>
        <w:rPr>
          <w:rFonts w:ascii="Arial" w:cs="Arial" w:eastAsia="Arial" w:hAnsi="Arial"/>
          <w:color w:val="14171A"/>
          <w:sz w:val="21"/>
          <w:szCs w:val="21"/>
        </w:rPr>
        <w:t xml:space="preserve">Opinion of the data protection officer: </w:t>
      </w:r>
      <w:r>
        <w:rPr>
          <w:rFonts w:ascii="Arial" w:cs="Arial" w:eastAsia="Arial" w:hAnsi="Arial"/>
          <w:color w:val="14171A"/>
          <w:sz w:val="21"/>
          <w:szCs w:val="21"/>
          <w:highlight w:val="yellow"/>
        </w:rPr>
        <w:t xml:space="preserve">[date, summary]</w:t>
      </w:r>
    </w:p>
    <w:p>
      <w:pPr>
        <w:spacing w:after="140" w:line="300"/>
      </w:pPr>
      <w:r>
        <w:rPr>
          <w:rFonts w:ascii="Arial" w:cs="Arial" w:eastAsia="Arial" w:hAnsi="Arial"/>
          <w:color w:val="14171A"/>
          <w:sz w:val="21"/>
          <w:szCs w:val="21"/>
        </w:rPr>
        <w:t xml:space="preserve">Involvement of the works council / staff representatives: </w:t>
      </w:r>
      <w:r>
        <w:rPr>
          <w:rFonts w:ascii="Arial" w:cs="Arial" w:eastAsia="Arial" w:hAnsi="Arial"/>
          <w:color w:val="14171A"/>
          <w:sz w:val="21"/>
          <w:szCs w:val="21"/>
          <w:highlight w:val="yellow"/>
        </w:rPr>
        <w:t xml:space="preserve">[date, result]</w:t>
      </w:r>
    </w:p>
    <w:p>
      <w:pPr>
        <w:spacing w:after="140" w:line="300"/>
      </w:pPr>
      <w:r>
        <w:rPr>
          <w:rFonts w:ascii="Arial" w:cs="Arial" w:eastAsia="Arial" w:hAnsi="Arial"/>
          <w:color w:val="14171A"/>
          <w:sz w:val="21"/>
          <w:szCs w:val="21"/>
        </w:rPr>
        <w:t xml:space="preserve">Decision and approval: </w:t>
      </w:r>
      <w:r>
        <w:rPr>
          <w:rFonts w:ascii="Arial" w:cs="Arial" w:eastAsia="Arial" w:hAnsi="Arial"/>
          <w:color w:val="14171A"/>
          <w:sz w:val="21"/>
          <w:szCs w:val="21"/>
          <w:highlight w:val="yellow"/>
        </w:rPr>
        <w:t xml:space="preserve">[name, function, date, signature]</w:t>
      </w:r>
    </w:p>
    <w:p>
      <w:pPr>
        <w:spacing w:after="140" w:line="300"/>
      </w:pPr>
      <w:r>
        <w:rPr>
          <w:rFonts w:ascii="Arial" w:cs="Arial" w:eastAsia="Arial" w:hAnsi="Arial"/>
          <w:color w:val="14171A"/>
          <w:sz w:val="21"/>
          <w:szCs w:val="21"/>
        </w:rPr>
        <w:t xml:space="preserve">Next review: </w:t>
      </w:r>
      <w:r>
        <w:rPr>
          <w:rFonts w:ascii="Arial" w:cs="Arial" w:eastAsia="Arial" w:hAnsi="Arial"/>
          <w:color w:val="14171A"/>
          <w:sz w:val="21"/>
          <w:szCs w:val="21"/>
          <w:highlight w:val="yellow"/>
        </w:rPr>
        <w:t xml:space="preserve">[date — at the latest when the processing changes, e.g. new modules or sites]</w:t>
      </w:r>
    </w:p>
    <w:sectPr>
      <w:headerReference w:type="default" r:id="rId6"/>
      <w:footerReference w:type="default" r:id="rId7"/>
      <w:pgSz w:w="11906" w:h="16838" w:orient="portrait"/>
      <w:pgMar w:top="1300" w:right="1250" w:bottom="1200" w:left="12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6636A"/>
        <w:sz w:val="16"/>
        <w:szCs w:val="16"/>
      </w:rPr>
      <w:t xml:space="preserve">EHS Axis — DPIA template · 2026-10 · </w:t>
    </w:r>
    <w:r>
      <w:rPr>
        <w:rFonts w:ascii="Arial" w:cs="Arial" w:eastAsia="Arial" w:hAnsi="Arial"/>
        <w:color w:val="56636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b/>
        <w:bCs/>
        <w:color w:val="14171A"/>
        <w:sz w:val="18"/>
        <w:szCs w:val="18"/>
      </w:rPr>
      <w:t xml:space="preserve">EHS </w:t>
    </w:r>
    <w:r>
      <w:rPr>
        <w:rFonts w:ascii="Arial" w:cs="Arial" w:eastAsia="Arial" w:hAnsi="Arial"/>
        <w:color w:val="14171A"/>
        <w:sz w:val="18"/>
        <w:szCs w:val="18"/>
      </w:rPr>
      <w:t xml:space="preserve">Axis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Impact Assessment (DPIA)</dc:title>
  <dc:creator>EHS Axis</dc:creator>
  <dc:description>Template for the use of EHS Axis — Art. 35 GDPR</dc:description>
  <cp:lastModifiedBy>Un-named</cp:lastModifiedBy>
  <cp:revision>1</cp:revision>
  <dcterms:created xsi:type="dcterms:W3CDTF">2026-10-14T15:33:20.246Z</dcterms:created>
  <dcterms:modified xsi:type="dcterms:W3CDTF">2026-10-14T15:33:20.246Z</dcterms:modified>
</cp:coreProperties>
</file>

<file path=docProps/custom.xml><?xml version="1.0" encoding="utf-8"?>
<Properties xmlns="http://schemas.openxmlformats.org/officeDocument/2006/custom-properties" xmlns:vt="http://schemas.openxmlformats.org/officeDocument/2006/docPropsVTypes"/>
</file>