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14171A"/>
          <w:sz w:val="36"/>
          <w:szCs w:val="36"/>
        </w:rPr>
        <w:t xml:space="preserve">Datenschutz-Folgenabschätzung (DSFA)</w:t>
      </w:r>
    </w:p>
    <w:p>
      <w:pPr>
        <w:pBdr>
          <w:bottom w:val="single" w:color="14171A" w:sz="12" w:space="6"/>
        </w:pBdr>
        <w:spacing w:after="260"/>
      </w:pPr>
      <w:r>
        <w:rPr>
          <w:rFonts w:ascii="Arial" w:cs="Arial" w:eastAsia="Arial" w:hAnsi="Arial"/>
          <w:color w:val="56636A"/>
          <w:sz w:val="24"/>
          <w:szCs w:val="24"/>
        </w:rPr>
        <w:t xml:space="preserve">Vorlage für den Einsatz von EHS Axis – Art. 35 DSGVO</w:t>
      </w:r>
    </w:p>
    <w:p>
      <w:pPr>
        <w:pBdr>
          <w:left w:val="single" w:color="C9F73D" w:sz="18" w:space="8"/>
        </w:pBdr>
        <w:shd w:fill="F1F3F2" w:color="auto" w:val="clear"/>
        <w:spacing w:after="160" w:line="280"/>
      </w:pPr>
      <w:r>
        <w:rPr>
          <w:rFonts w:ascii="Arial" w:cs="Arial" w:eastAsia="Arial" w:hAnsi="Arial"/>
          <w:i/>
          <w:iCs/>
          <w:color w:val="56636A"/>
          <w:sz w:val="19"/>
          <w:szCs w:val="19"/>
        </w:rPr>
        <w:t xml:space="preserve">Vorlage von Cyber in Systems Kft. für Kunden von EHS Axis (Version 2026-10). Sie stellt keine Rechtsberatung dar. Felder in eckigen Klammern </w:t>
      </w:r>
      <w:r>
        <w:rPr>
          <w:rFonts w:ascii="Arial" w:cs="Arial" w:eastAsia="Arial" w:hAnsi="Arial"/>
          <w:i/>
          <w:iCs/>
          <w:color w:val="56636A"/>
          <w:sz w:val="19"/>
          <w:szCs w:val="19"/>
          <w:highlight w:val="yellow"/>
        </w:rPr>
        <w:t xml:space="preserve">[ … ]</w:t>
      </w:r>
      <w:r>
        <w:rPr>
          <w:rFonts w:ascii="Arial" w:cs="Arial" w:eastAsia="Arial" w:hAnsi="Arial"/>
          <w:i/>
          <w:iCs/>
          <w:color w:val="56636A"/>
          <w:sz w:val="19"/>
          <w:szCs w:val="19"/>
        </w:rPr>
        <w:t xml:space="preserve"> sind vom Kunden auszufüllen bzw. zu prüfen; lassen Sie die endgültige Fassung von Ihrem Datenschutzbeauftragten und ggf. rechtlich prüfen.</w:t>
      </w:r>
    </w:p>
    <w:p>
      <w:pPr>
        <w:spacing w:after="140" w:line="300"/>
      </w:pPr>
      <w:r>
        <w:rPr>
          <w:rFonts w:ascii="Arial" w:cs="Arial" w:eastAsia="Arial" w:hAnsi="Arial"/>
          <w:color w:val="14171A"/>
          <w:sz w:val="21"/>
          <w:szCs w:val="21"/>
        </w:rPr>
        <w:t xml:space="preserve">Diese Vorlage unterstützt Sie als Verantwortlichen bei der Bewertung der Verarbeitung personenbezogener Daten in EHS Axis. Die Beschreibung der Software, der Daten sowie der technischen und organisatorischen Maßnahmen haben wir als Auftragsverarbeiter vorausgefüllt; die Bewertung der Erforderlichkeit, der Risiken und die abschließende Entscheidung verbleiben bei Ihnen.</w:t>
      </w:r>
    </w:p>
    <w:p>
      <w:pPr>
        <w:keepNext/>
        <w:spacing w:after="120" w:before="280"/>
      </w:pPr>
      <w:r>
        <w:rPr>
          <w:rFonts w:ascii="Arial" w:cs="Arial" w:eastAsia="Arial" w:hAnsi="Arial"/>
          <w:b/>
          <w:bCs/>
          <w:color w:val="14171A"/>
          <w:sz w:val="25"/>
          <w:szCs w:val="25"/>
        </w:rPr>
        <w:t xml:space="preserve">1. Allgemeine Angaben</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3292"/>
        <w:gridCol w:w="6114"/>
      </w:tblGrid>
      <w:tr>
        <w:trPr>
          <w:tblHeader/>
        </w:trPr>
        <w:tc>
          <w:tcPr>
            <w:tcW w:type="pct" w:w="17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Punkt</w:t>
            </w:r>
          </w:p>
        </w:tc>
        <w:tc>
          <w:tcPr>
            <w:tcW w:type="pct" w:w="32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Angabe</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Verantwortlicher</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[Firmenname, Anschrift]</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Datenschutzbeauftragter</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[Name, Kontakt]</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Verarbeitungstätigkeit</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rPr>
              <w:t xml:space="preserve">Arbeitsschutz-, Gesundheitsschutz- und Umweltmanagement mit der Software EHS Axis (Abweichungen, Korrekturmaßnahmen, Audits und Begehungen, Gefährdungsbeurteilung, Unfallregister, Prüfungen von Arbeitsmitteln, Schulungsnachweise)</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Auftragsverarbeiter</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rPr>
              <w:t xml:space="preserve">Cyber in Systems Kft., 4183 Kaba, Baross Gábor utca 46., Ungarn – Auftragsverarbeitungsvertrag (AVV) geschlossen am </w:t>
            </w:r>
            <w:r>
              <w:rPr>
                <w:rFonts w:ascii="Arial" w:cs="Arial" w:eastAsia="Arial" w:hAnsi="Arial"/>
                <w:b w:val="false"/>
                <w:bCs w:val="false"/>
                <w:color w:val="14171A"/>
                <w:sz w:val="18"/>
                <w:szCs w:val="18"/>
                <w:highlight w:val="yellow"/>
              </w:rPr>
              <w:t xml:space="preserve">[Datum]</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Genutzte Module</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[z. B. Abweichungen, Audits, Risiken, Unfälle, Arbeitsmittel, Schulungen]</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Standorte / Organisationseinheiten</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Erstellt von / Datum / Version</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bl>
    <w:p>
      <w:pPr>
        <w:spacing w:after="100" w:before="0" w:line="20" w:lineRule="exact"/>
      </w:pPr>
      <w:r>
        <w:rPr>
          <w:sz w:val="2"/>
          <w:szCs w:val="2"/>
        </w:rPr>
        <w:t xml:space="preserve"/>
      </w:r>
    </w:p>
    <w:p>
      <w:pPr>
        <w:keepNext/>
        <w:spacing w:after="120" w:before="280"/>
      </w:pPr>
      <w:r>
        <w:rPr>
          <w:rFonts w:ascii="Arial" w:cs="Arial" w:eastAsia="Arial" w:hAnsi="Arial"/>
          <w:b/>
          <w:bCs/>
          <w:color w:val="14171A"/>
          <w:sz w:val="25"/>
          <w:szCs w:val="25"/>
        </w:rPr>
        <w:t xml:space="preserve">2. Ist eine DSFA erforderlich? (Schwellwertanalyse)</w:t>
      </w:r>
    </w:p>
    <w:p>
      <w:pPr>
        <w:spacing w:after="140" w:line="300"/>
      </w:pPr>
      <w:r>
        <w:rPr>
          <w:rFonts w:ascii="Arial" w:cs="Arial" w:eastAsia="Arial" w:hAnsi="Arial"/>
          <w:color w:val="14171A"/>
          <w:sz w:val="21"/>
          <w:szCs w:val="21"/>
        </w:rPr>
        <w:t xml:space="preserve">Eine DSFA ist erforderlich, wenn eine Verarbeitung voraussichtlich ein hohes Risiko zur Folge hat (Art. 35 Abs. 1 DSGVO). Prüfen Sie die folgenden Kriterien; nach den EDSA-Leitlinien (WP 248) deuten in der Regel zwei oder mehr erfüllte Kriterien darauf hin, dass eine DSFA durchzuführen ist. Prüfen Sie außerdem die von Ihrer Aufsichtsbehörde veröffentlichte Liste von Verarbeitungsvorgängen (in Deutschland die „Muss-Liste“ der DSK, in Österreich die DSFA-V).</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4703"/>
        <w:gridCol w:w="1599"/>
        <w:gridCol w:w="3104"/>
      </w:tblGrid>
      <w:tr>
        <w:trPr>
          <w:tblHeader/>
        </w:trPr>
        <w:tc>
          <w:tcPr>
            <w:tcW w:type="pct" w:w="25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Kriterium</w:t>
            </w:r>
          </w:p>
        </w:tc>
        <w:tc>
          <w:tcPr>
            <w:tcW w:type="pct" w:w="8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Zutreffend?</w:t>
            </w:r>
          </w:p>
        </w:tc>
        <w:tc>
          <w:tcPr>
            <w:tcW w:type="pct" w:w="16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Bemerkung</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Sensible Daten (Art. 9 DSGVO): Gesundheitsdaten im Unfallregister</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[ja/nein]</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rPr>
              <w:t xml:space="preserve">Nur bei Nutzung des Unfallmoduls</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Daten schutzbedürftiger Betroffener (Beschäftigte in einem Abhängigkeitsverhältnis)</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[ja/nein]</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rPr>
              <w:t xml:space="preserve">Im Beschäftigungskontext in der Regel ja</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Systematische Überwachung von Personen</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[ja/nein]</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rPr>
              <w:t xml:space="preserve">Nicht Zweck der Verarbeitung; siehe Abschnitt 4 und die Möglichkeit, personenbezogene Auswertungen abzuschalten</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Umfangreiche Verarbeitung</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[ja/nein]</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[Anzahl Beschäftigte / Standorte]</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Innovative Technologie</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rPr>
              <w:t xml:space="preserve">nein</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rPr>
              <w:t xml:space="preserve">Standard-Webanwendung, keine KI-gestützte Bewertung von Personen</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Abgleich oder Zusammenführung von Datensätzen</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[ja/nein]</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rPr>
              <w:t xml:space="preserve">z. B. Importe aus HR-Systemen</w:t>
            </w:r>
          </w:p>
        </w:tc>
      </w:tr>
    </w:tbl>
    <w:p>
      <w:pPr>
        <w:spacing w:after="100" w:before="0" w:line="20" w:lineRule="exact"/>
      </w:pPr>
      <w:r>
        <w:rPr>
          <w:sz w:val="2"/>
          <w:szCs w:val="2"/>
        </w:rPr>
        <w:t xml:space="preserve"/>
      </w:r>
    </w:p>
    <w:p>
      <w:pPr>
        <w:spacing w:after="140" w:line="300"/>
      </w:pPr>
      <w:r>
        <w:rPr>
          <w:rFonts w:ascii="Arial" w:cs="Arial" w:eastAsia="Arial" w:hAnsi="Arial"/>
          <w:color w:val="14171A"/>
          <w:sz w:val="21"/>
          <w:szCs w:val="21"/>
        </w:rPr>
        <w:t xml:space="preserve">Ergebnis: </w:t>
      </w:r>
      <w:r>
        <w:rPr>
          <w:rFonts w:ascii="Arial" w:cs="Arial" w:eastAsia="Arial" w:hAnsi="Arial"/>
          <w:color w:val="14171A"/>
          <w:sz w:val="21"/>
          <w:szCs w:val="21"/>
          <w:highlight w:val="yellow"/>
        </w:rPr>
        <w:t xml:space="preserve">[DSFA erforderlich / nicht erforderlich – Begründung]</w:t>
      </w:r>
    </w:p>
    <w:p>
      <w:pPr>
        <w:keepNext/>
        <w:spacing w:after="120" w:before="280"/>
      </w:pPr>
      <w:r>
        <w:rPr>
          <w:rFonts w:ascii="Arial" w:cs="Arial" w:eastAsia="Arial" w:hAnsi="Arial"/>
          <w:b/>
          <w:bCs/>
          <w:color w:val="14171A"/>
          <w:sz w:val="25"/>
          <w:szCs w:val="25"/>
        </w:rPr>
        <w:t xml:space="preserve">3. Systematische Beschreibung der Verarbeitung</w:t>
      </w:r>
    </w:p>
    <w:p>
      <w:pPr>
        <w:spacing w:after="140" w:line="300"/>
      </w:pPr>
      <w:r>
        <w:rPr>
          <w:rFonts w:ascii="Arial" w:cs="Arial" w:eastAsia="Arial" w:hAnsi="Arial"/>
          <w:color w:val="14171A"/>
          <w:sz w:val="21"/>
          <w:szCs w:val="21"/>
        </w:rPr>
        <w:t xml:space="preserve">Zwecke: Erfüllung der gesetzlichen Pflichten des Arbeitgebers im Arbeits-, Gesundheits- und Umweltschutz (z. B. Gefährdungsbeurteilung, Erfassung und Untersuchung von Unfällen, wiederkehrende Prüfung von Arbeitsmitteln, Dokumentation von Unterweisungen) sowie Betrieb der Managementsysteme (ISO 45001, ISO 14001, ISO 9001).</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2069"/>
        <w:gridCol w:w="4515"/>
        <w:gridCol w:w="2822"/>
      </w:tblGrid>
      <w:tr>
        <w:trPr>
          <w:tblHeader/>
        </w:trPr>
        <w:tc>
          <w:tcPr>
            <w:tcW w:type="pct" w:w="11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Betroffene</w:t>
            </w:r>
          </w:p>
        </w:tc>
        <w:tc>
          <w:tcPr>
            <w:tcW w:type="pct" w:w="24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Datenkategorien</w:t>
            </w:r>
          </w:p>
        </w:tc>
        <w:tc>
          <w:tcPr>
            <w:tcW w:type="pct" w:w="15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Wo in EHS Axis</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Nutzer (Beschäftigte mit Benutzerkonto)</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dienstliche E-Mail-Adresse, Telefon, Sprache, Rolle, zugewiesene Zuständigkeiten und Fristen, von ihnen erstellte Einträge (Abweichungen, Maßnahmen, Audits, Risiken, Unfälle, Schulungsnachweise), Ereignisprotokoll (wer hat was wann geändert), Datum der letzten Anmeldung</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Alle Module; Einstellungen › Benutzer</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Beschäftigte ohne Benutzerkonto</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Personalnummer, Position, Abteilung, Standort, dienstliche E-Mail-Adresse (optional), Bemerkungen, Schulungsnachweise und Zertifikate (Datum, Gültigkeit, Schulender, Zertifikatsnummer, Dateien)</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Schulungen (Schulungsmatrix)</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Verletzte und an Unfällen beteiligte Personen</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Verknüpfung mit dem Beschäftigtendatensatz, Art der Verletzung, verletztes Körperteil, Schweregrad, Ausfalltage (Gesundheitsdaten, Art. 9 DSGVO); Beschreibung des Ereignisses, ggf. erfasste Zeugenaussagen; optionale personenbezogene Angaben für die nationale Unfallanzeige</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Unfälle</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Auf Fotos erkennbare Personen</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Als Nachweis hochgeladene Bilder (Abweichungen, Audits, Unfälle); Metadaten (EXIF, GPS) werden beim Hochladen entfernt</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Fotos und Anhänge</w:t>
            </w:r>
          </w:p>
        </w:tc>
      </w:tr>
    </w:tbl>
    <w:p>
      <w:pPr>
        <w:spacing w:after="100" w:before="0" w:line="20" w:lineRule="exact"/>
      </w:pPr>
      <w:r>
        <w:rPr>
          <w:sz w:val="2"/>
          <w:szCs w:val="2"/>
        </w:rPr>
        <w:t xml:space="preserve"/>
      </w:r>
    </w:p>
    <w:p>
      <w:pPr>
        <w:spacing w:after="140" w:line="300"/>
      </w:pPr>
      <w:r>
        <w:rPr>
          <w:rFonts w:ascii="Arial" w:cs="Arial" w:eastAsia="Arial" w:hAnsi="Arial"/>
          <w:color w:val="14171A"/>
          <w:sz w:val="21"/>
          <w:szCs w:val="21"/>
        </w:rPr>
        <w:t xml:space="preserve">Empfänger: innerhalb des Unternehmens entsprechend der Rolle (siehe Abschnitt 6); der Auftragsverarbeiter und seine Unterauftragsverarbeiter nur zur Erbringung der Leistung. Export (Excel, PDF) durch berechtigte Nutzer; </w:t>
      </w:r>
      <w:r>
        <w:rPr>
          <w:rFonts w:ascii="Arial" w:cs="Arial" w:eastAsia="Arial" w:hAnsi="Arial"/>
          <w:color w:val="14171A"/>
          <w:sz w:val="21"/>
          <w:szCs w:val="21"/>
          <w:highlight w:val="yellow"/>
        </w:rPr>
        <w:t xml:space="preserve">[weitere Empfänger, z. B. Unfallversicherungsträger, Behörden, externe Fachkraft für Arbeitssicherheit]</w:t>
      </w:r>
      <w:r>
        <w:rPr>
          <w:rFonts w:ascii="Arial" w:cs="Arial" w:eastAsia="Arial" w:hAnsi="Arial"/>
          <w:color w:val="14171A"/>
          <w:sz w:val="21"/>
          <w:szCs w:val="21"/>
        </w:rPr>
        <w:t xml:space="preserve">.</w:t>
      </w:r>
    </w:p>
    <w:p>
      <w:pPr>
        <w:spacing w:after="140" w:line="300"/>
      </w:pPr>
      <w:r>
        <w:rPr>
          <w:rFonts w:ascii="Arial" w:cs="Arial" w:eastAsia="Arial" w:hAnsi="Arial"/>
          <w:color w:val="14171A"/>
          <w:sz w:val="21"/>
          <w:szCs w:val="21"/>
        </w:rPr>
        <w:t xml:space="preserve">Speicherung: Rechenzentrum in der EU (Tschechische Republik). Die Aufbewahrung steuert der Kunde: Einträge können jederzeit gelöscht werden; nach Ende des Abonnements sind die Daten 90 Tage lang nur lesbar und werden anschließend gelöscht (aus den Sicherungen innerhalb weiterer 14 Tage entfernt). </w:t>
      </w:r>
      <w:r>
        <w:rPr>
          <w:rFonts w:ascii="Arial" w:cs="Arial" w:eastAsia="Arial" w:hAnsi="Arial"/>
          <w:color w:val="14171A"/>
          <w:sz w:val="21"/>
          <w:szCs w:val="21"/>
          <w:highlight w:val="yellow"/>
        </w:rPr>
        <w:t xml:space="preserve">[Interne Aufbewahrungsfristen, z. B. Unfalldokumentation: …]</w:t>
      </w:r>
    </w:p>
    <w:p>
      <w:pPr>
        <w:spacing w:after="140" w:line="300"/>
      </w:pPr>
      <w:r>
        <w:rPr>
          <w:rFonts w:ascii="Arial" w:cs="Arial" w:eastAsia="Arial" w:hAnsi="Arial"/>
          <w:color w:val="14171A"/>
          <w:sz w:val="21"/>
          <w:szCs w:val="21"/>
        </w:rPr>
        <w:t xml:space="preserve">Rechtsgrundlage: </w:t>
      </w:r>
      <w:r>
        <w:rPr>
          <w:rFonts w:ascii="Arial" w:cs="Arial" w:eastAsia="Arial" w:hAnsi="Arial"/>
          <w:color w:val="14171A"/>
          <w:sz w:val="21"/>
          <w:szCs w:val="21"/>
          <w:highlight w:val="yellow"/>
        </w:rPr>
        <w:t xml:space="preserve">[Art. 6 Abs. 1 lit. c DSGVO i. V. m. Arbeitsschutzrecht (z. B. §§ 5, 6 ArbSchG, § 193 SGB VII, § 12 ArbSchG); ggf. Art. 6 Abs. 1 lit. b und Art. 88 DSGVO i. V. m. § 26 BDSG; für Gesundheitsdaten Art. 9 Abs. 2 lit. b DSGVO i. V. m. § 26 Abs. 3 BDSG; Betriebsvereinbarung nach Art. 88 DSGVO, sofern abgeschlossen – vom Verantwortlichen zu prüfen, da § 26 Abs. 1 BDSG im Lichte von EuGH C-34/21 anzuwenden ist]</w:t>
      </w:r>
      <w:r>
        <w:rPr>
          <w:rFonts w:ascii="Arial" w:cs="Arial" w:eastAsia="Arial" w:hAnsi="Arial"/>
          <w:color w:val="14171A"/>
          <w:sz w:val="21"/>
          <w:szCs w:val="21"/>
        </w:rPr>
        <w:t xml:space="preserve">.</w:t>
      </w:r>
    </w:p>
    <w:p>
      <w:pPr>
        <w:keepNext/>
        <w:spacing w:after="120" w:before="280"/>
      </w:pPr>
      <w:r>
        <w:rPr>
          <w:rFonts w:ascii="Arial" w:cs="Arial" w:eastAsia="Arial" w:hAnsi="Arial"/>
          <w:b/>
          <w:bCs/>
          <w:color w:val="14171A"/>
          <w:sz w:val="25"/>
          <w:szCs w:val="25"/>
        </w:rPr>
        <w:t xml:space="preserve">4. Notwendigkeit und Verhältnismäßigkeit</w:t>
      </w:r>
    </w:p>
    <w:p>
      <w:pPr>
        <w:pStyle w:val="ListParagraph"/>
        <w:numPr>
          <w:ilvl w:val="0"/>
          <w:numId w:val="2"/>
        </w:numPr>
        <w:spacing w:after="80" w:line="290"/>
      </w:pPr>
      <w:r>
        <w:rPr>
          <w:rFonts w:ascii="Arial" w:cs="Arial" w:eastAsia="Arial" w:hAnsi="Arial"/>
          <w:color w:val="14171A"/>
          <w:sz w:val="21"/>
          <w:szCs w:val="21"/>
        </w:rPr>
        <w:t xml:space="preserve">Zweckbindung: Die Daten werden ausschließlich für das Arbeits-, Gesundheits- und Umweltschutzmanagement verwendet. Eine Nutzung zur Leistungs- oder Verhaltenskontrolle von Beschäftigten ist </w:t>
      </w:r>
      <w:r>
        <w:rPr>
          <w:rFonts w:ascii="Arial" w:cs="Arial" w:eastAsia="Arial" w:hAnsi="Arial"/>
          <w:color w:val="14171A"/>
          <w:sz w:val="21"/>
          <w:szCs w:val="21"/>
          <w:highlight w:val="yellow"/>
        </w:rPr>
        <w:t xml:space="preserve">[durch interne Richtlinie / die Betriebsvereinbarung ausgeschlossen]</w:t>
      </w:r>
      <w:r>
        <w:rPr>
          <w:rFonts w:ascii="Arial" w:cs="Arial" w:eastAsia="Arial" w:hAnsi="Arial"/>
          <w:color w:val="14171A"/>
          <w:sz w:val="21"/>
          <w:szCs w:val="21"/>
        </w:rPr>
        <w:t xml:space="preserve">.</w:t>
      </w:r>
    </w:p>
    <w:p>
      <w:pPr>
        <w:pStyle w:val="ListParagraph"/>
        <w:numPr>
          <w:ilvl w:val="0"/>
          <w:numId w:val="2"/>
        </w:numPr>
        <w:spacing w:after="80" w:line="290"/>
      </w:pPr>
      <w:r>
        <w:rPr>
          <w:rFonts w:ascii="Arial" w:cs="Arial" w:eastAsia="Arial" w:hAnsi="Arial"/>
          <w:color w:val="14171A"/>
          <w:sz w:val="21"/>
          <w:szCs w:val="21"/>
        </w:rPr>
        <w:t xml:space="preserve">Datenminimierung: Nur die für das jeweilige Modul erforderlichen Felder sind Pflichtfelder; Freitextfelder und Fotos sind optional. Die optionalen personenbezogenen Angaben für die nationale Unfallanzeige werden nur ausgefüllt, wenn dies gesetzlich vorgeschrieben ist.</w:t>
      </w:r>
    </w:p>
    <w:p>
      <w:pPr>
        <w:pStyle w:val="ListParagraph"/>
        <w:numPr>
          <w:ilvl w:val="0"/>
          <w:numId w:val="2"/>
        </w:numPr>
        <w:spacing w:after="80" w:line="290"/>
      </w:pPr>
      <w:r>
        <w:rPr>
          <w:rFonts w:ascii="Arial" w:cs="Arial" w:eastAsia="Arial" w:hAnsi="Arial"/>
          <w:color w:val="14171A"/>
          <w:sz w:val="21"/>
          <w:szCs w:val="21"/>
        </w:rPr>
        <w:t xml:space="preserve">Personenbezogene Statistiken in den Berichten (je verantwortlicher Person und je Melder) kann der Inhaber des Unternehmens abschalten (Einstellungen › Datenschutz).</w:t>
      </w:r>
    </w:p>
    <w:p>
      <w:pPr>
        <w:pStyle w:val="ListParagraph"/>
        <w:numPr>
          <w:ilvl w:val="0"/>
          <w:numId w:val="2"/>
        </w:numPr>
        <w:spacing w:after="80" w:line="290"/>
      </w:pPr>
      <w:r>
        <w:rPr>
          <w:rFonts w:ascii="Arial" w:cs="Arial" w:eastAsia="Arial" w:hAnsi="Arial"/>
          <w:color w:val="14171A"/>
          <w:sz w:val="21"/>
          <w:szCs w:val="21"/>
        </w:rPr>
        <w:t xml:space="preserve">Transparenz: Die Beschäftigten werden informiert über </w:t>
      </w:r>
      <w:r>
        <w:rPr>
          <w:rFonts w:ascii="Arial" w:cs="Arial" w:eastAsia="Arial" w:hAnsi="Arial"/>
          <w:color w:val="14171A"/>
          <w:sz w:val="21"/>
          <w:szCs w:val="21"/>
          <w:highlight w:val="yellow"/>
        </w:rPr>
        <w:t xml:space="preserve">[Datenschutzhinweise für Beschäftigte, Intranet, Information des Betriebsrats]</w:t>
      </w:r>
      <w:r>
        <w:rPr>
          <w:rFonts w:ascii="Arial" w:cs="Arial" w:eastAsia="Arial" w:hAnsi="Arial"/>
          <w:color w:val="14171A"/>
          <w:sz w:val="21"/>
          <w:szCs w:val="21"/>
        </w:rPr>
        <w:t xml:space="preserve">.</w:t>
      </w:r>
    </w:p>
    <w:p>
      <w:pPr>
        <w:pStyle w:val="ListParagraph"/>
        <w:numPr>
          <w:ilvl w:val="0"/>
          <w:numId w:val="2"/>
        </w:numPr>
        <w:spacing w:after="80" w:line="290"/>
      </w:pPr>
      <w:r>
        <w:rPr>
          <w:rFonts w:ascii="Arial" w:cs="Arial" w:eastAsia="Arial" w:hAnsi="Arial"/>
          <w:color w:val="14171A"/>
          <w:sz w:val="21"/>
          <w:szCs w:val="21"/>
        </w:rPr>
        <w:t xml:space="preserve">Betroffenenrechte: Auskunft und Export über Excel/PDF und den vollständigen Datenexport; Berichtigung und Löschung durch berechtigte Nutzer.</w:t>
      </w:r>
    </w:p>
    <w:p>
      <w:pPr>
        <w:keepNext/>
        <w:spacing w:after="120" w:before="280"/>
      </w:pPr>
      <w:r>
        <w:rPr>
          <w:rFonts w:ascii="Arial" w:cs="Arial" w:eastAsia="Arial" w:hAnsi="Arial"/>
          <w:b/>
          <w:bCs/>
          <w:color w:val="14171A"/>
          <w:sz w:val="25"/>
          <w:szCs w:val="25"/>
        </w:rPr>
        <w:t xml:space="preserve">5. Risiken für die Rechte und Freiheiten der Betroffenen</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3762"/>
        <w:gridCol w:w="1223"/>
        <w:gridCol w:w="1223"/>
        <w:gridCol w:w="3198"/>
      </w:tblGrid>
      <w:tr>
        <w:trPr>
          <w:tblHeader/>
        </w:trPr>
        <w:tc>
          <w:tcPr>
            <w:tcW w:type="pct" w:w="20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Risiko</w:t>
            </w:r>
          </w:p>
        </w:tc>
        <w:tc>
          <w:tcPr>
            <w:tcW w:type="pct" w:w="6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Eintrittswahrscheinlichkeit</w:t>
            </w:r>
          </w:p>
        </w:tc>
        <w:tc>
          <w:tcPr>
            <w:tcW w:type="pct" w:w="6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Schwere</w:t>
            </w:r>
          </w:p>
        </w:tc>
        <w:tc>
          <w:tcPr>
            <w:tcW w:type="pct" w:w="17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Maßnahmen (siehe Abschnitt 6)</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Unbefugter Zugriff auf Gesundheitsdaten verletzter Personen</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[niedrig/mittel/hoch]</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rPr>
              <w:t xml:space="preserve">Eingeschränkter Rollenzugriff, 2FA, Transportverschlüsselung, Protokollierung</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Missbrauch von Aktivitätsdaten (Ereignisprotokoll, Fristen, personenbezogene Statistiken) zur Leistungs- oder Verhaltenskontrolle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rPr>
              <w:t xml:space="preserve">Zweckbindung, Betriebsvereinbarung, abschaltbare personenbezogene Auswertungen, eingeschränkte Rollen</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Offenlegung von Personen auf Fotos</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rPr>
              <w:t xml:space="preserve">Anweisungen für Fotografierende, Entfernung der Metadaten, Zugriff nur für Mitglieder des Arbeitsbereichs</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Verlust oder Nichtverfügbarkeit von Daten</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rPr>
              <w:t xml:space="preserve">Tägliche Sicherungen, Wiederherstellungstests, RPO 24 h / RTO 1 Arbeitstag</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Zugriff durch den Auftragsverarbeiter oder seine Unterauftragsverarbeiter über die Weisungen hinaus</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rPr>
              <w:t xml:space="preserve">AVV (Art. 28 DSGVO), Rechenzentrum in der EU, Liste der Unterauftragsverarbeiter mit 30-tägiger Vorankündigung</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[weitere Risiken]</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bl>
    <w:p>
      <w:pPr>
        <w:spacing w:after="100" w:before="0" w:line="20" w:lineRule="exact"/>
      </w:pPr>
      <w:r>
        <w:rPr>
          <w:sz w:val="2"/>
          <w:szCs w:val="2"/>
        </w:rPr>
        <w:t xml:space="preserve"/>
      </w:r>
    </w:p>
    <w:p>
      <w:pPr>
        <w:keepNext/>
        <w:spacing w:after="120" w:before="280"/>
      </w:pPr>
      <w:r>
        <w:rPr>
          <w:rFonts w:ascii="Arial" w:cs="Arial" w:eastAsia="Arial" w:hAnsi="Arial"/>
          <w:b/>
          <w:bCs/>
          <w:color w:val="14171A"/>
          <w:sz w:val="25"/>
          <w:szCs w:val="25"/>
        </w:rPr>
        <w:t xml:space="preserve">6. Technische und organisatorische Maßnahmen</w:t>
      </w:r>
    </w:p>
    <w:p>
      <w:pPr>
        <w:spacing w:after="140" w:line="300"/>
      </w:pPr>
      <w:r>
        <w:rPr>
          <w:rFonts w:ascii="Arial" w:cs="Arial" w:eastAsia="Arial" w:hAnsi="Arial"/>
          <w:color w:val="14171A"/>
          <w:sz w:val="21"/>
          <w:szCs w:val="21"/>
        </w:rPr>
        <w:t xml:space="preserve">Vom Auftragsverarbeiter umgesetzte Maßnahmen (Anlage 2 des AVV):</w:t>
      </w:r>
    </w:p>
    <w:p>
      <w:pPr>
        <w:pStyle w:val="ListParagraph"/>
        <w:numPr>
          <w:ilvl w:val="0"/>
          <w:numId w:val="2"/>
        </w:numPr>
        <w:spacing w:after="80" w:line="290"/>
      </w:pPr>
      <w:r>
        <w:rPr>
          <w:rFonts w:ascii="Arial" w:cs="Arial" w:eastAsia="Arial" w:hAnsi="Arial"/>
          <w:color w:val="14171A"/>
          <w:sz w:val="21"/>
          <w:szCs w:val="21"/>
        </w:rPr>
        <w:t xml:space="preserve">Transportverschlüsselung (TLS 1.2/1.3, HSTS); Passwörter als gesalzene Einweg-Hashes (bcrypt); Geheimnisse der Zwei-Faktor-Authentifizierung verschlüsselt (AES-256-GCM).</w:t>
      </w:r>
    </w:p>
    <w:p>
      <w:pPr>
        <w:pStyle w:val="ListParagraph"/>
        <w:numPr>
          <w:ilvl w:val="0"/>
          <w:numId w:val="2"/>
        </w:numPr>
        <w:spacing w:after="80" w:line="290"/>
      </w:pPr>
      <w:r>
        <w:rPr>
          <w:rFonts w:ascii="Arial" w:cs="Arial" w:eastAsia="Arial" w:hAnsi="Arial"/>
          <w:color w:val="14171A"/>
          <w:sz w:val="21"/>
          <w:szCs w:val="21"/>
        </w:rPr>
        <w:t xml:space="preserve">Rollenbasierter Zugriff (Inhaber, Administrator, Freigeber, Verantwortlich, Melder, Betrachter); Gesundheitsdaten in Unfallakten nur für Administratoren und den benannten Untersuchenden sichtbar.</w:t>
      </w:r>
    </w:p>
    <w:p>
      <w:pPr>
        <w:pStyle w:val="ListParagraph"/>
        <w:numPr>
          <w:ilvl w:val="0"/>
          <w:numId w:val="2"/>
        </w:numPr>
        <w:spacing w:after="80" w:line="290"/>
      </w:pPr>
      <w:r>
        <w:rPr>
          <w:rFonts w:ascii="Arial" w:cs="Arial" w:eastAsia="Arial" w:hAnsi="Arial"/>
          <w:color w:val="14171A"/>
          <w:sz w:val="21"/>
          <w:szCs w:val="21"/>
        </w:rPr>
        <w:t xml:space="preserve">Zwei-Faktor-Authentifizierung, die der Kunde für Administratoren oder alle Nutzer verpflichtend machen kann; Begrenzung der Anmeldeversuche; bei einer Passwortänderung werden alle anderen Sitzungen beendet.</w:t>
      </w:r>
    </w:p>
    <w:p>
      <w:pPr>
        <w:pStyle w:val="ListParagraph"/>
        <w:numPr>
          <w:ilvl w:val="0"/>
          <w:numId w:val="2"/>
        </w:numPr>
        <w:spacing w:after="80" w:line="290"/>
      </w:pPr>
      <w:r>
        <w:rPr>
          <w:rFonts w:ascii="Arial" w:cs="Arial" w:eastAsia="Arial" w:hAnsi="Arial"/>
          <w:color w:val="14171A"/>
          <w:sz w:val="21"/>
          <w:szCs w:val="21"/>
        </w:rPr>
        <w:t xml:space="preserve">Logische Trennung der Kunden-Arbeitsbereiche in jeder Abfrage, vor jedem Release durch automatisierte Tests überprüft.</w:t>
      </w:r>
    </w:p>
    <w:p>
      <w:pPr>
        <w:pStyle w:val="ListParagraph"/>
        <w:numPr>
          <w:ilvl w:val="0"/>
          <w:numId w:val="2"/>
        </w:numPr>
        <w:spacing w:after="80" w:line="290"/>
      </w:pPr>
      <w:r>
        <w:rPr>
          <w:rFonts w:ascii="Arial" w:cs="Arial" w:eastAsia="Arial" w:hAnsi="Arial"/>
          <w:color w:val="14171A"/>
          <w:sz w:val="21"/>
          <w:szCs w:val="21"/>
        </w:rPr>
        <w:t xml:space="preserve">Prüfung des Dateityps anhand des Inhalts; Dateien nur für Mitglieder des Arbeitsbereichs herunterladbar; Foto-Metadaten (EXIF, GPS) werden entfernt.</w:t>
      </w:r>
    </w:p>
    <w:p>
      <w:pPr>
        <w:pStyle w:val="ListParagraph"/>
        <w:numPr>
          <w:ilvl w:val="0"/>
          <w:numId w:val="2"/>
        </w:numPr>
        <w:spacing w:after="80" w:line="290"/>
      </w:pPr>
      <w:r>
        <w:rPr>
          <w:rFonts w:ascii="Arial" w:cs="Arial" w:eastAsia="Arial" w:hAnsi="Arial"/>
          <w:color w:val="14171A"/>
          <w:sz w:val="21"/>
          <w:szCs w:val="21"/>
        </w:rPr>
        <w:t xml:space="preserve">Tägliche Sicherung von Datenbank und Dateien, 14 Tage aufbewahrt und täglich auf einen separaten Server kopiert; wöchentlicher automatisierter Wiederherstellungstest; Wiederherstellungsziele RPO 24 Stunden, RTO 1 Arbeitstag.</w:t>
      </w:r>
    </w:p>
    <w:p>
      <w:pPr>
        <w:pStyle w:val="ListParagraph"/>
        <w:numPr>
          <w:ilvl w:val="0"/>
          <w:numId w:val="2"/>
        </w:numPr>
        <w:spacing w:after="80" w:line="290"/>
      </w:pPr>
      <w:r>
        <w:rPr>
          <w:rFonts w:ascii="Arial" w:cs="Arial" w:eastAsia="Arial" w:hAnsi="Arial"/>
          <w:color w:val="14171A"/>
          <w:sz w:val="21"/>
          <w:szCs w:val="21"/>
        </w:rPr>
        <w:t xml:space="preserve">Verfügbarkeitsüberwachung alle 5 Minuten mit Alarmierung; Server- und Anwendungsprotokolle werden 30 Tage aufbewahrt.</w:t>
      </w:r>
    </w:p>
    <w:p>
      <w:pPr>
        <w:pStyle w:val="ListParagraph"/>
        <w:numPr>
          <w:ilvl w:val="0"/>
          <w:numId w:val="2"/>
        </w:numPr>
        <w:spacing w:after="80" w:line="290"/>
      </w:pPr>
      <w:r>
        <w:rPr>
          <w:rFonts w:ascii="Arial" w:cs="Arial" w:eastAsia="Arial" w:hAnsi="Arial"/>
          <w:color w:val="14171A"/>
          <w:sz w:val="21"/>
          <w:szCs w:val="21"/>
        </w:rPr>
        <w:t xml:space="preserve">Rechenzentrum in der EU (Tschechische Republik); Benachrichtigung des Kunden über Datenschutzverletzungen innerhalb von 48 Stunden.</w:t>
      </w:r>
    </w:p>
    <w:p>
      <w:pPr>
        <w:spacing w:after="140" w:line="300"/>
      </w:pPr>
      <w:r>
        <w:rPr>
          <w:rFonts w:ascii="Arial" w:cs="Arial" w:eastAsia="Arial" w:hAnsi="Arial"/>
          <w:color w:val="14171A"/>
          <w:sz w:val="21"/>
          <w:szCs w:val="21"/>
        </w:rPr>
        <w:t xml:space="preserve">Vom Verantwortlichen umgesetzte Maßnahmen: </w:t>
      </w:r>
      <w:r>
        <w:rPr>
          <w:rFonts w:ascii="Arial" w:cs="Arial" w:eastAsia="Arial" w:hAnsi="Arial"/>
          <w:color w:val="14171A"/>
          <w:sz w:val="21"/>
          <w:szCs w:val="21"/>
          <w:highlight w:val="yellow"/>
        </w:rPr>
        <w:t xml:space="preserve">[Rollenkonzept und -vergabe, verpflichtende 2FA, interne Anweisungen, Schulung der Nutzer, Löschkonzept, Verfahren für Betroffenenanfragen, Beteiligung des Betriebsrats …]</w:t>
      </w:r>
    </w:p>
    <w:p>
      <w:pPr>
        <w:spacing w:after="140" w:line="300"/>
      </w:pPr>
      <w:r>
        <w:rPr>
          <w:rFonts w:ascii="Arial" w:cs="Arial" w:eastAsia="Arial" w:hAnsi="Arial"/>
          <w:color w:val="14171A"/>
          <w:sz w:val="21"/>
          <w:szCs w:val="21"/>
        </w:rPr>
        <w:t xml:space="preserve">Unterauftragsverarbeiter (Anlage 1 des AVV):</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3010"/>
        <w:gridCol w:w="4139"/>
        <w:gridCol w:w="2257"/>
      </w:tblGrid>
      <w:tr>
        <w:trPr>
          <w:tblHeader/>
        </w:trPr>
        <w:tc>
          <w:tcPr>
            <w:tcW w:type="pct" w:w="16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Unterauftragsverarbeiter</w:t>
            </w:r>
          </w:p>
        </w:tc>
        <w:tc>
          <w:tcPr>
            <w:tcW w:type="pct" w:w="22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Tätigkeit</w:t>
            </w:r>
          </w:p>
        </w:tc>
        <w:tc>
          <w:tcPr>
            <w:tcW w:type="pct" w:w="12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Ort der Daten</w:t>
            </w:r>
          </w:p>
        </w:tc>
      </w:tr>
      <w:tr>
        <w:tc>
          <w:tcPr>
            <w:tcW w:type="pct" w:w="1600"/>
            <w:tcMar>
              <w:top w:type="dxa" w:w="70"/>
              <w:left w:type="dxa" w:w="100"/>
              <w:bottom w:type="dxa" w:w="70"/>
              <w:right w:type="dxa" w:w="100"/>
            </w:tcMar>
          </w:tcPr>
          <w:p>
            <w:r>
              <w:rPr>
                <w:rFonts w:ascii="Arial" w:cs="Arial" w:eastAsia="Arial" w:hAnsi="Arial"/>
                <w:b w:val="false"/>
                <w:bCs w:val="false"/>
                <w:color w:val="14171A"/>
                <w:sz w:val="18"/>
                <w:szCs w:val="18"/>
              </w:rPr>
              <w:t xml:space="preserve">Aruba Cloud (Aruba S.p.A., EU), Forpsi</w:t>
            </w:r>
          </w:p>
        </w:tc>
        <w:tc>
          <w:tcPr>
            <w:tcW w:type="pct" w:w="2200"/>
            <w:tcMar>
              <w:top w:type="dxa" w:w="70"/>
              <w:left w:type="dxa" w:w="100"/>
              <w:bottom w:type="dxa" w:w="70"/>
              <w:right w:type="dxa" w:w="100"/>
            </w:tcMar>
          </w:tcPr>
          <w:p>
            <w:r>
              <w:rPr>
                <w:rFonts w:ascii="Arial" w:cs="Arial" w:eastAsia="Arial" w:hAnsi="Arial"/>
                <w:b w:val="false"/>
                <w:bCs w:val="false"/>
                <w:color w:val="14171A"/>
                <w:sz w:val="18"/>
                <w:szCs w:val="18"/>
              </w:rPr>
              <w:t xml:space="preserve">Hosting, Datenbank, hochgeladene Dateien, Sicherungen</w:t>
            </w:r>
          </w:p>
        </w:tc>
        <w:tc>
          <w:tcPr>
            <w:tcW w:type="pct" w:w="1200"/>
            <w:tcMar>
              <w:top w:type="dxa" w:w="70"/>
              <w:left w:type="dxa" w:w="100"/>
              <w:bottom w:type="dxa" w:w="70"/>
              <w:right w:type="dxa" w:w="100"/>
            </w:tcMar>
          </w:tcPr>
          <w:p>
            <w:r>
              <w:rPr>
                <w:rFonts w:ascii="Arial" w:cs="Arial" w:eastAsia="Arial" w:hAnsi="Arial"/>
                <w:b w:val="false"/>
                <w:bCs w:val="false"/>
                <w:color w:val="14171A"/>
                <w:sz w:val="18"/>
                <w:szCs w:val="18"/>
              </w:rPr>
              <w:t xml:space="preserve">EU (Tschechische Republik)</w:t>
            </w:r>
          </w:p>
        </w:tc>
      </w:tr>
      <w:tr>
        <w:tc>
          <w:tcPr>
            <w:tcW w:type="pct" w:w="1600"/>
            <w:tcMar>
              <w:top w:type="dxa" w:w="70"/>
              <w:left w:type="dxa" w:w="100"/>
              <w:bottom w:type="dxa" w:w="70"/>
              <w:right w:type="dxa" w:w="100"/>
            </w:tcMar>
          </w:tcPr>
          <w:p>
            <w:r>
              <w:rPr>
                <w:rFonts w:ascii="Arial" w:cs="Arial" w:eastAsia="Arial" w:hAnsi="Arial"/>
                <w:b w:val="false"/>
                <w:bCs w:val="false"/>
                <w:color w:val="14171A"/>
                <w:sz w:val="18"/>
                <w:szCs w:val="18"/>
              </w:rPr>
              <w:t xml:space="preserve">Forpsi</w:t>
            </w:r>
          </w:p>
        </w:tc>
        <w:tc>
          <w:tcPr>
            <w:tcW w:type="pct" w:w="2200"/>
            <w:tcMar>
              <w:top w:type="dxa" w:w="70"/>
              <w:left w:type="dxa" w:w="100"/>
              <w:bottom w:type="dxa" w:w="70"/>
              <w:right w:type="dxa" w:w="100"/>
            </w:tcMar>
          </w:tcPr>
          <w:p>
            <w:r>
              <w:rPr>
                <w:rFonts w:ascii="Arial" w:cs="Arial" w:eastAsia="Arial" w:hAnsi="Arial"/>
                <w:b w:val="false"/>
                <w:bCs w:val="false"/>
                <w:color w:val="14171A"/>
                <w:sz w:val="18"/>
                <w:szCs w:val="18"/>
              </w:rPr>
              <w:t xml:space="preserve">Versand von System-E-Mails und Benachrichtigungen</w:t>
            </w:r>
          </w:p>
        </w:tc>
        <w:tc>
          <w:tcPr>
            <w:tcW w:type="pct" w:w="1200"/>
            <w:tcMar>
              <w:top w:type="dxa" w:w="70"/>
              <w:left w:type="dxa" w:w="100"/>
              <w:bottom w:type="dxa" w:w="70"/>
              <w:right w:type="dxa" w:w="100"/>
            </w:tcMar>
          </w:tcPr>
          <w:p>
            <w:r>
              <w:rPr>
                <w:rFonts w:ascii="Arial" w:cs="Arial" w:eastAsia="Arial" w:hAnsi="Arial"/>
                <w:b w:val="false"/>
                <w:bCs w:val="false"/>
                <w:color w:val="14171A"/>
                <w:sz w:val="18"/>
                <w:szCs w:val="18"/>
              </w:rPr>
              <w:t xml:space="preserve">EU</w:t>
            </w:r>
          </w:p>
        </w:tc>
      </w:tr>
      <w:tr>
        <w:tc>
          <w:tcPr>
            <w:tcW w:type="pct" w:w="1600"/>
            <w:tcMar>
              <w:top w:type="dxa" w:w="70"/>
              <w:left w:type="dxa" w:w="100"/>
              <w:bottom w:type="dxa" w:w="70"/>
              <w:right w:type="dxa" w:w="100"/>
            </w:tcMar>
          </w:tcPr>
          <w:p>
            <w:r>
              <w:rPr>
                <w:rFonts w:ascii="Arial" w:cs="Arial" w:eastAsia="Arial" w:hAnsi="Arial"/>
                <w:b w:val="false"/>
                <w:bCs w:val="false"/>
                <w:color w:val="14171A"/>
                <w:sz w:val="18"/>
                <w:szCs w:val="18"/>
              </w:rPr>
              <w:t xml:space="preserve">Stripe Payments Europe Ltd. (Irland)</w:t>
            </w:r>
          </w:p>
        </w:tc>
        <w:tc>
          <w:tcPr>
            <w:tcW w:type="pct" w:w="2200"/>
            <w:tcMar>
              <w:top w:type="dxa" w:w="70"/>
              <w:left w:type="dxa" w:w="100"/>
              <w:bottom w:type="dxa" w:w="70"/>
              <w:right w:type="dxa" w:w="100"/>
            </w:tcMar>
          </w:tcPr>
          <w:p>
            <w:r>
              <w:rPr>
                <w:rFonts w:ascii="Arial" w:cs="Arial" w:eastAsia="Arial" w:hAnsi="Arial"/>
                <w:b w:val="false"/>
                <w:bCs w:val="false"/>
                <w:color w:val="14171A"/>
                <w:sz w:val="18"/>
                <w:szCs w:val="18"/>
              </w:rPr>
              <w:t xml:space="preserve">Online-Kartenzahlung; nur Rechnungskontaktdaten – keine Daten aus dem Arbeitsbereich</w:t>
            </w:r>
          </w:p>
        </w:tc>
        <w:tc>
          <w:tcPr>
            <w:tcW w:type="pct" w:w="1200"/>
            <w:tcMar>
              <w:top w:type="dxa" w:w="70"/>
              <w:left w:type="dxa" w:w="100"/>
              <w:bottom w:type="dxa" w:w="70"/>
              <w:right w:type="dxa" w:w="100"/>
            </w:tcMar>
          </w:tcPr>
          <w:p>
            <w:r>
              <w:rPr>
                <w:rFonts w:ascii="Arial" w:cs="Arial" w:eastAsia="Arial" w:hAnsi="Arial"/>
                <w:b w:val="false"/>
                <w:bCs w:val="false"/>
                <w:color w:val="14171A"/>
                <w:sz w:val="18"/>
                <w:szCs w:val="18"/>
              </w:rPr>
              <w:t xml:space="preserve">EU (Übermittlungen in die USA innerhalb der Stripe-Gruppe auf Grundlage von DPF/SCC (Standardvertragsklauseln))</w:t>
            </w:r>
          </w:p>
        </w:tc>
      </w:tr>
      <w:tr>
        <w:tc>
          <w:tcPr>
            <w:tcW w:type="pct" w:w="1600"/>
            <w:tcMar>
              <w:top w:type="dxa" w:w="70"/>
              <w:left w:type="dxa" w:w="100"/>
              <w:bottom w:type="dxa" w:w="70"/>
              <w:right w:type="dxa" w:w="100"/>
            </w:tcMar>
          </w:tcPr>
          <w:p>
            <w:r>
              <w:rPr>
                <w:rFonts w:ascii="Arial" w:cs="Arial" w:eastAsia="Arial" w:hAnsi="Arial"/>
                <w:b w:val="false"/>
                <w:bCs w:val="false"/>
                <w:color w:val="14171A"/>
                <w:sz w:val="18"/>
                <w:szCs w:val="18"/>
              </w:rPr>
              <w:t xml:space="preserve">KBOSS.hu Kft. – Számlázz.hu (Ungarn)</w:t>
            </w:r>
          </w:p>
        </w:tc>
        <w:tc>
          <w:tcPr>
            <w:tcW w:type="pct" w:w="2200"/>
            <w:tcMar>
              <w:top w:type="dxa" w:w="70"/>
              <w:left w:type="dxa" w:w="100"/>
              <w:bottom w:type="dxa" w:w="70"/>
              <w:right w:type="dxa" w:w="100"/>
            </w:tcMar>
          </w:tcPr>
          <w:p>
            <w:r>
              <w:rPr>
                <w:rFonts w:ascii="Arial" w:cs="Arial" w:eastAsia="Arial" w:hAnsi="Arial"/>
                <w:b w:val="false"/>
                <w:bCs w:val="false"/>
                <w:color w:val="14171A"/>
                <w:sz w:val="18"/>
                <w:szCs w:val="18"/>
              </w:rPr>
              <w:t xml:space="preserve">Rechnungsstellung; nur Rechnungsdaten</w:t>
            </w:r>
          </w:p>
        </w:tc>
        <w:tc>
          <w:tcPr>
            <w:tcW w:type="pct" w:w="1200"/>
            <w:tcMar>
              <w:top w:type="dxa" w:w="70"/>
              <w:left w:type="dxa" w:w="100"/>
              <w:bottom w:type="dxa" w:w="70"/>
              <w:right w:type="dxa" w:w="100"/>
            </w:tcMar>
          </w:tcPr>
          <w:p>
            <w:r>
              <w:rPr>
                <w:rFonts w:ascii="Arial" w:cs="Arial" w:eastAsia="Arial" w:hAnsi="Arial"/>
                <w:b w:val="false"/>
                <w:bCs w:val="false"/>
                <w:color w:val="14171A"/>
                <w:sz w:val="18"/>
                <w:szCs w:val="18"/>
              </w:rPr>
              <w:t xml:space="preserve">EU</w:t>
            </w:r>
          </w:p>
        </w:tc>
      </w:tr>
      <w:tr>
        <w:tc>
          <w:tcPr>
            <w:tcW w:type="pct" w:w="1600"/>
            <w:tcMar>
              <w:top w:type="dxa" w:w="70"/>
              <w:left w:type="dxa" w:w="100"/>
              <w:bottom w:type="dxa" w:w="70"/>
              <w:right w:type="dxa" w:w="100"/>
            </w:tcMar>
          </w:tcPr>
          <w:p>
            <w:r>
              <w:rPr>
                <w:rFonts w:ascii="Arial" w:cs="Arial" w:eastAsia="Arial" w:hAnsi="Arial"/>
                <w:b w:val="false"/>
                <w:bCs w:val="false"/>
                <w:color w:val="14171A"/>
                <w:sz w:val="18"/>
                <w:szCs w:val="18"/>
              </w:rPr>
              <w:t xml:space="preserve">Cloudflare, Inc. – Turnstile</w:t>
            </w:r>
          </w:p>
        </w:tc>
        <w:tc>
          <w:tcPr>
            <w:tcW w:type="pct" w:w="2200"/>
            <w:tcMar>
              <w:top w:type="dxa" w:w="70"/>
              <w:left w:type="dxa" w:w="100"/>
              <w:bottom w:type="dxa" w:w="70"/>
              <w:right w:type="dxa" w:w="100"/>
            </w:tcMar>
          </w:tcPr>
          <w:p>
            <w:r>
              <w:rPr>
                <w:rFonts w:ascii="Arial" w:cs="Arial" w:eastAsia="Arial" w:hAnsi="Arial"/>
                <w:b w:val="false"/>
                <w:bCs w:val="false"/>
                <w:color w:val="14171A"/>
                <w:sz w:val="18"/>
                <w:szCs w:val="18"/>
              </w:rPr>
              <w:t xml:space="preserve">Bot-Schutz auf öffentlichen Formularen (IP-Adresse, technische Browserdaten); kein Zugriff auf Daten aus dem Arbeitsbereich</w:t>
            </w:r>
          </w:p>
        </w:tc>
        <w:tc>
          <w:tcPr>
            <w:tcW w:type="pct" w:w="1200"/>
            <w:tcMar>
              <w:top w:type="dxa" w:w="70"/>
              <w:left w:type="dxa" w:w="100"/>
              <w:bottom w:type="dxa" w:w="70"/>
              <w:right w:type="dxa" w:w="100"/>
            </w:tcMar>
          </w:tcPr>
          <w:p>
            <w:r>
              <w:rPr>
                <w:rFonts w:ascii="Arial" w:cs="Arial" w:eastAsia="Arial" w:hAnsi="Arial"/>
                <w:b w:val="false"/>
                <w:bCs w:val="false"/>
                <w:color w:val="14171A"/>
                <w:sz w:val="18"/>
                <w:szCs w:val="18"/>
              </w:rPr>
              <w:t xml:space="preserve">USA / weltweit (DPF, SCC)</w:t>
            </w:r>
          </w:p>
        </w:tc>
      </w:tr>
    </w:tbl>
    <w:p>
      <w:pPr>
        <w:spacing w:after="100" w:before="0" w:line="20" w:lineRule="exact"/>
      </w:pPr>
      <w:r>
        <w:rPr>
          <w:sz w:val="2"/>
          <w:szCs w:val="2"/>
        </w:rPr>
        <w:t xml:space="preserve"/>
      </w:r>
    </w:p>
    <w:p>
      <w:pPr>
        <w:keepNext/>
        <w:spacing w:after="120" w:before="280"/>
      </w:pPr>
      <w:r>
        <w:rPr>
          <w:rFonts w:ascii="Arial" w:cs="Arial" w:eastAsia="Arial" w:hAnsi="Arial"/>
          <w:b/>
          <w:bCs/>
          <w:color w:val="14171A"/>
          <w:sz w:val="25"/>
          <w:szCs w:val="25"/>
        </w:rPr>
        <w:t xml:space="preserve">7. Restrisiko und Ergebnis</w:t>
      </w:r>
    </w:p>
    <w:p>
      <w:pPr>
        <w:spacing w:after="140" w:line="300"/>
      </w:pPr>
      <w:r>
        <w:rPr>
          <w:rFonts w:ascii="Arial" w:cs="Arial" w:eastAsia="Arial" w:hAnsi="Arial"/>
          <w:color w:val="14171A"/>
          <w:sz w:val="21"/>
          <w:szCs w:val="21"/>
        </w:rPr>
        <w:t xml:space="preserve">Bewertung des Restrisikos nach Umsetzung der Maßnahmen: </w:t>
      </w:r>
      <w:r>
        <w:rPr>
          <w:rFonts w:ascii="Arial" w:cs="Arial" w:eastAsia="Arial" w:hAnsi="Arial"/>
          <w:color w:val="14171A"/>
          <w:sz w:val="21"/>
          <w:szCs w:val="21"/>
          <w:highlight w:val="yellow"/>
        </w:rPr>
        <w:t xml:space="preserve">[niedrig / vertretbar / hoch]</w:t>
      </w:r>
    </w:p>
    <w:p>
      <w:pPr>
        <w:spacing w:after="140" w:line="300"/>
      </w:pPr>
      <w:r>
        <w:rPr>
          <w:rFonts w:ascii="Arial" w:cs="Arial" w:eastAsia="Arial" w:hAnsi="Arial"/>
          <w:color w:val="14171A"/>
          <w:sz w:val="21"/>
          <w:szCs w:val="21"/>
        </w:rPr>
        <w:t xml:space="preserve">Konsultation der Aufsichtsbehörde erforderlich (Art. 36 DSGVO): </w:t>
      </w:r>
      <w:r>
        <w:rPr>
          <w:rFonts w:ascii="Arial" w:cs="Arial" w:eastAsia="Arial" w:hAnsi="Arial"/>
          <w:color w:val="14171A"/>
          <w:sz w:val="21"/>
          <w:szCs w:val="21"/>
          <w:highlight w:val="yellow"/>
        </w:rPr>
        <w:t xml:space="preserve">[ja/nein]</w:t>
      </w:r>
    </w:p>
    <w:p>
      <w:pPr>
        <w:spacing w:after="140" w:line="300"/>
      </w:pPr>
      <w:r>
        <w:rPr>
          <w:rFonts w:ascii="Arial" w:cs="Arial" w:eastAsia="Arial" w:hAnsi="Arial"/>
          <w:color w:val="14171A"/>
          <w:sz w:val="21"/>
          <w:szCs w:val="21"/>
        </w:rPr>
        <w:t xml:space="preserve">Stellungnahme des Datenschutzbeauftragten: </w:t>
      </w:r>
      <w:r>
        <w:rPr>
          <w:rFonts w:ascii="Arial" w:cs="Arial" w:eastAsia="Arial" w:hAnsi="Arial"/>
          <w:color w:val="14171A"/>
          <w:sz w:val="21"/>
          <w:szCs w:val="21"/>
          <w:highlight w:val="yellow"/>
        </w:rPr>
        <w:t xml:space="preserve">[Datum, Zusammenfassung]</w:t>
      </w:r>
    </w:p>
    <w:p>
      <w:pPr>
        <w:spacing w:after="140" w:line="300"/>
      </w:pPr>
      <w:r>
        <w:rPr>
          <w:rFonts w:ascii="Arial" w:cs="Arial" w:eastAsia="Arial" w:hAnsi="Arial"/>
          <w:color w:val="14171A"/>
          <w:sz w:val="21"/>
          <w:szCs w:val="21"/>
        </w:rPr>
        <w:t xml:space="preserve">Beteiligung des Betriebsrats / der Personalvertretung: </w:t>
      </w:r>
      <w:r>
        <w:rPr>
          <w:rFonts w:ascii="Arial" w:cs="Arial" w:eastAsia="Arial" w:hAnsi="Arial"/>
          <w:color w:val="14171A"/>
          <w:sz w:val="21"/>
          <w:szCs w:val="21"/>
          <w:highlight w:val="yellow"/>
        </w:rPr>
        <w:t xml:space="preserve">[Datum, Ergebnis]</w:t>
      </w:r>
    </w:p>
    <w:p>
      <w:pPr>
        <w:spacing w:after="140" w:line="300"/>
      </w:pPr>
      <w:r>
        <w:rPr>
          <w:rFonts w:ascii="Arial" w:cs="Arial" w:eastAsia="Arial" w:hAnsi="Arial"/>
          <w:color w:val="14171A"/>
          <w:sz w:val="21"/>
          <w:szCs w:val="21"/>
        </w:rPr>
        <w:t xml:space="preserve">Entscheidung und Freigabe: </w:t>
      </w:r>
      <w:r>
        <w:rPr>
          <w:rFonts w:ascii="Arial" w:cs="Arial" w:eastAsia="Arial" w:hAnsi="Arial"/>
          <w:color w:val="14171A"/>
          <w:sz w:val="21"/>
          <w:szCs w:val="21"/>
          <w:highlight w:val="yellow"/>
        </w:rPr>
        <w:t xml:space="preserve">[Name, Funktion, Datum, Unterschrift]</w:t>
      </w:r>
    </w:p>
    <w:p>
      <w:pPr>
        <w:spacing w:after="140" w:line="300"/>
      </w:pPr>
      <w:r>
        <w:rPr>
          <w:rFonts w:ascii="Arial" w:cs="Arial" w:eastAsia="Arial" w:hAnsi="Arial"/>
          <w:color w:val="14171A"/>
          <w:sz w:val="21"/>
          <w:szCs w:val="21"/>
        </w:rPr>
        <w:t xml:space="preserve">Nächste Überprüfung: </w:t>
      </w:r>
      <w:r>
        <w:rPr>
          <w:rFonts w:ascii="Arial" w:cs="Arial" w:eastAsia="Arial" w:hAnsi="Arial"/>
          <w:color w:val="14171A"/>
          <w:sz w:val="21"/>
          <w:szCs w:val="21"/>
          <w:highlight w:val="yellow"/>
        </w:rPr>
        <w:t xml:space="preserve">[Datum – spätestens bei Änderung der Verarbeitung, z. B. neue Module oder Standorte]</w:t>
      </w:r>
    </w:p>
    <w:sectPr>
      <w:headerReference w:type="default" r:id="rId6"/>
      <w:footerReference w:type="default" r:id="rId7"/>
      <w:pgSz w:w="11906" w:h="16838" w:orient="portrait"/>
      <w:pgMar w:top="1300" w:right="1250" w:bottom="1200" w:left="12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6636A"/>
        <w:sz w:val="16"/>
        <w:szCs w:val="16"/>
      </w:rPr>
      <w:t xml:space="preserve">EHS Axis – DSFA-Vorlage · 2026-10 · </w:t>
    </w:r>
    <w:r>
      <w:rPr>
        <w:rFonts w:ascii="Arial" w:cs="Arial" w:eastAsia="Arial" w:hAnsi="Arial"/>
        <w:color w:val="5663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b/>
        <w:bCs/>
        <w:color w:val="14171A"/>
        <w:sz w:val="18"/>
        <w:szCs w:val="18"/>
      </w:rPr>
      <w:t xml:space="preserve">EHS </w:t>
    </w:r>
    <w:r>
      <w:rPr>
        <w:rFonts w:ascii="Arial" w:cs="Arial" w:eastAsia="Arial" w:hAnsi="Arial"/>
        <w:color w:val="14171A"/>
        <w:sz w:val="18"/>
        <w:szCs w:val="18"/>
      </w:rPr>
      <w:t xml:space="preserve">Axis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Datenschutz-Folgenabschätzung (DSFA)</dc:title>
  <dc:creator>EHS Axis</dc:creator>
  <dc:description>Vorlage für den Einsatz von EHS Axis – Art. 35 DSGVO</dc:description>
  <cp:lastModifiedBy>Un-named</cp:lastModifiedBy>
  <cp:revision>1</cp:revision>
  <dcterms:created xsi:type="dcterms:W3CDTF">2026-10-14T15:33:19.848Z</dcterms:created>
  <dcterms:modified xsi:type="dcterms:W3CDTF">2026-10-14T15:33:19.848Z</dcterms:modified>
</cp:coreProperties>
</file>

<file path=docProps/custom.xml><?xml version="1.0" encoding="utf-8"?>
<Properties xmlns="http://schemas.openxmlformats.org/officeDocument/2006/custom-properties" xmlns:vt="http://schemas.openxmlformats.org/officeDocument/2006/docPropsVTypes"/>
</file>